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0B4DBD">
        <w:trPr>
          <w:cantSplit/>
        </w:trPr>
        <w:tc>
          <w:tcPr>
            <w:tcW w:w="9051" w:type="dxa"/>
            <w:tcBorders>
              <w:top w:val="nil"/>
              <w:left w:val="nil"/>
              <w:bottom w:val="nil"/>
              <w:right w:val="nil"/>
            </w:tcBorders>
            <w:shd w:val="clear" w:color="auto" w:fill="FFFFFF"/>
          </w:tcPr>
          <w:p w:rsidR="000B4DBD" w:rsidRDefault="00CB054D">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GUYANE</w:t>
            </w:r>
          </w:p>
        </w:tc>
      </w:tr>
      <w:tr w:rsidR="000B4DBD">
        <w:tblPrEx>
          <w:jc w:val="center"/>
        </w:tblPrEx>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0B4DBD">
        <w:tblPrEx>
          <w:jc w:val="center"/>
        </w:tblPrEx>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0B4DBD">
        <w:tblPrEx>
          <w:jc w:val="center"/>
        </w:tblPrEx>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0B4DBD">
        <w:tblPrEx>
          <w:jc w:val="center"/>
        </w:tblPrEx>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0B4DBD">
        <w:tblPrEx>
          <w:jc w:val="center"/>
        </w:tblPrEx>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0B4DBD" w:rsidRDefault="000B4DBD">
      <w:pPr>
        <w:adjustRightInd w:val="0"/>
        <w:rPr>
          <w:rFonts w:ascii="Arial" w:hAnsi="Arial" w:cs="Arial"/>
          <w:color w:val="000000"/>
          <w:sz w:val="22"/>
          <w:szCs w:val="22"/>
        </w:rPr>
        <w:sectPr w:rsidR="000B4DBD">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0B4DBD">
        <w:trPr>
          <w:cantSplit/>
          <w:jc w:val="center"/>
        </w:trPr>
        <w:tc>
          <w:tcPr>
            <w:tcW w:w="9051" w:type="dxa"/>
            <w:gridSpan w:val="2"/>
            <w:tcBorders>
              <w:top w:val="nil"/>
              <w:left w:val="nil"/>
              <w:bottom w:val="nil"/>
              <w:right w:val="nil"/>
            </w:tcBorders>
            <w:shd w:val="clear" w:color="auto" w:fill="FFFFFF"/>
          </w:tcPr>
          <w:p w:rsidR="000B4DBD" w:rsidRDefault="00CB054D">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0B4DBD">
        <w:trPr>
          <w:cantSplit/>
          <w:jc w:val="center"/>
        </w:trPr>
        <w:tc>
          <w:tcPr>
            <w:tcW w:w="9051" w:type="dxa"/>
            <w:gridSpan w:val="2"/>
            <w:tcBorders>
              <w:top w:val="nil"/>
              <w:left w:val="nil"/>
              <w:bottom w:val="nil"/>
              <w:right w:val="nil"/>
            </w:tcBorders>
            <w:shd w:val="clear" w:color="auto" w:fill="FFFFFF"/>
          </w:tcPr>
          <w:p w:rsidR="000B4DBD" w:rsidRDefault="00CB054D">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0B4DBD">
        <w:trPr>
          <w:cantSplit/>
          <w:jc w:val="center"/>
        </w:trPr>
        <w:tc>
          <w:tcPr>
            <w:tcW w:w="9051" w:type="dxa"/>
            <w:gridSpan w:val="2"/>
            <w:tcBorders>
              <w:top w:val="nil"/>
              <w:left w:val="nil"/>
              <w:bottom w:val="nil"/>
              <w:right w:val="nil"/>
            </w:tcBorders>
            <w:shd w:val="clear" w:color="auto" w:fill="FFFFFF"/>
          </w:tcPr>
          <w:p w:rsidR="000B4DBD" w:rsidRDefault="00CB054D">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GUYANE</w:t>
            </w:r>
          </w:p>
        </w:tc>
      </w:tr>
      <w:tr w:rsidR="000B4DBD">
        <w:trPr>
          <w:cantSplit/>
          <w:jc w:val="center"/>
        </w:trPr>
        <w:tc>
          <w:tcPr>
            <w:tcW w:w="9051" w:type="dxa"/>
            <w:gridSpan w:val="2"/>
            <w:tcBorders>
              <w:top w:val="nil"/>
              <w:left w:val="nil"/>
              <w:bottom w:val="nil"/>
              <w:right w:val="nil"/>
            </w:tcBorders>
            <w:shd w:val="clear" w:color="auto" w:fill="FFFFFF"/>
          </w:tcPr>
          <w:p w:rsidR="000B4DBD" w:rsidRDefault="00CB054D">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0B4DBD">
        <w:trPr>
          <w:cantSplit/>
          <w:jc w:val="center"/>
        </w:trPr>
        <w:tc>
          <w:tcPr>
            <w:tcW w:w="9051" w:type="dxa"/>
            <w:gridSpan w:val="2"/>
            <w:tcBorders>
              <w:top w:val="nil"/>
              <w:left w:val="nil"/>
              <w:bottom w:val="nil"/>
              <w:right w:val="nil"/>
            </w:tcBorders>
            <w:shd w:val="clear" w:color="auto" w:fill="FFFFFF"/>
          </w:tcPr>
          <w:p w:rsidR="000B4DBD" w:rsidRDefault="000B4DBD">
            <w:pPr>
              <w:adjustRightInd w:val="0"/>
              <w:jc w:val="both"/>
              <w:rPr>
                <w:rFonts w:ascii="Arial" w:hAnsi="Arial" w:cs="Arial"/>
                <w:color w:val="000000"/>
                <w:sz w:val="22"/>
                <w:szCs w:val="22"/>
              </w:rPr>
            </w:pP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Nombre de naissance (CPDPN1)</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Liste des CPDPN (CPDPN2)</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0B4DB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0B4DBD" w:rsidRDefault="000B4DBD">
            <w:pPr>
              <w:adjustRightInd w:val="0"/>
              <w:rPr>
                <w:rFonts w:ascii="Arial" w:hAnsi="Arial" w:cs="Arial"/>
                <w:color w:val="000000"/>
                <w:sz w:val="18"/>
                <w:szCs w:val="18"/>
              </w:rPr>
            </w:pP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0B4DB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0B4DBD" w:rsidRDefault="000B4DBD">
            <w:pPr>
              <w:adjustRightInd w:val="0"/>
              <w:rPr>
                <w:rFonts w:ascii="Arial" w:hAnsi="Arial" w:cs="Arial"/>
                <w:color w:val="000000"/>
                <w:sz w:val="18"/>
                <w:szCs w:val="18"/>
              </w:rPr>
            </w:pP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0B4DBD">
        <w:tblPrEx>
          <w:jc w:val="left"/>
        </w:tblPrEx>
        <w:trPr>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0B4DBD" w:rsidRDefault="000B4DBD">
      <w:pPr>
        <w:adjustRightInd w:val="0"/>
        <w:rPr>
          <w:rFonts w:ascii="Arial" w:hAnsi="Arial" w:cs="Arial"/>
          <w:color w:val="000000"/>
          <w:sz w:val="22"/>
          <w:szCs w:val="22"/>
        </w:rPr>
        <w:sectPr w:rsidR="000B4DBD">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Guyane.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 xml:space="preserve">Les données de génétique postnatale correspondent à l’activité 2017 des laboratoires. Elles ont été recueillies de manière spécifique en coopération avec </w:t>
            </w:r>
            <w:proofErr w:type="spellStart"/>
            <w:r>
              <w:rPr>
                <w:rFonts w:ascii="Arial" w:hAnsi="Arial" w:cs="Arial"/>
                <w:color w:val="000000"/>
                <w:sz w:val="22"/>
                <w:szCs w:val="22"/>
              </w:rPr>
              <w:t>Orphanet</w:t>
            </w:r>
            <w:proofErr w:type="spellEnd"/>
            <w:r>
              <w:rPr>
                <w:rFonts w:ascii="Arial" w:hAnsi="Arial" w:cs="Arial"/>
                <w:color w:val="000000"/>
                <w:sz w:val="22"/>
                <w:szCs w:val="22"/>
              </w:rPr>
              <w:t>. La base de données a été figée en avril 2018. Les modifications apportées après cette date n’ont pas été prises en compte.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aux niveaux régional et national, en fonction de l’indication recherchée. L’analyse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est une technique utilisée aussi bien par les laboratoires de cytogénétique que par les laboratoires de génétique moléculaire. Elle est souvent mutualisée dans un même établissement.</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0B4DBD">
        <w:trPr>
          <w:cantSplit/>
          <w:jc w:val="center"/>
        </w:trPr>
        <w:tc>
          <w:tcPr>
            <w:tcW w:w="9051" w:type="dxa"/>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0B4DBD" w:rsidRDefault="000B4DBD">
      <w:pPr>
        <w:adjustRightInd w:val="0"/>
        <w:rPr>
          <w:rFonts w:ascii="Arial" w:hAnsi="Arial" w:cs="Arial"/>
          <w:color w:val="000000"/>
          <w:sz w:val="22"/>
          <w:szCs w:val="22"/>
        </w:rPr>
        <w:sectPr w:rsidR="000B4DBD">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0B4DBD">
        <w:trPr>
          <w:cantSplit/>
        </w:trPr>
        <w:tc>
          <w:tcPr>
            <w:tcW w:w="9051" w:type="dxa"/>
            <w:gridSpan w:val="3"/>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Guyane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0B4DBD">
        <w:tblPrEx>
          <w:jc w:val="center"/>
        </w:tblPrEx>
        <w:trPr>
          <w:cantSplit/>
          <w:jc w:val="center"/>
        </w:trPr>
        <w:tc>
          <w:tcPr>
            <w:tcW w:w="9051" w:type="dxa"/>
            <w:gridSpan w:val="3"/>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0B4DBD">
        <w:trPr>
          <w:gridAfter w:val="1"/>
          <w:wAfter w:w="104"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0B4DBD">
        <w:trPr>
          <w:gridAfter w:val="1"/>
          <w:wAfter w:w="104"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0B4DBD">
        <w:trPr>
          <w:gridAfter w:val="1"/>
          <w:wAfter w:w="104" w:type="dxa"/>
          <w:cantSplit/>
        </w:trPr>
        <w:tc>
          <w:tcPr>
            <w:tcW w:w="880" w:type="dxa"/>
            <w:tcBorders>
              <w:top w:val="nil"/>
              <w:left w:val="nil"/>
              <w:bottom w:val="nil"/>
              <w:right w:val="nil"/>
            </w:tcBorders>
            <w:shd w:val="clear" w:color="auto" w:fill="FFFFFF"/>
            <w:tcMar>
              <w:right w:w="80" w:type="dxa"/>
            </w:tcMar>
          </w:tcPr>
          <w:p w:rsidR="000B4DBD" w:rsidRDefault="00CB054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B4DBD" w:rsidRDefault="00CB054D">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0B4DBD">
        <w:trPr>
          <w:gridAfter w:val="1"/>
          <w:wAfter w:w="104"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0B4DBD">
        <w:tblPrEx>
          <w:jc w:val="center"/>
        </w:tblPrEx>
        <w:trPr>
          <w:cantSplit/>
          <w:jc w:val="center"/>
        </w:trPr>
        <w:tc>
          <w:tcPr>
            <w:tcW w:w="9051" w:type="dxa"/>
            <w:gridSpan w:val="3"/>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0B4DBD">
        <w:tblPrEx>
          <w:jc w:val="center"/>
        </w:tblPrEx>
        <w:trPr>
          <w:cantSplit/>
          <w:jc w:val="center"/>
        </w:trPr>
        <w:tc>
          <w:tcPr>
            <w:tcW w:w="9051" w:type="dxa"/>
            <w:gridSpan w:val="3"/>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0B4DBD">
        <w:tblPrEx>
          <w:jc w:val="center"/>
        </w:tblPrEx>
        <w:trPr>
          <w:cantSplit/>
          <w:jc w:val="center"/>
        </w:trPr>
        <w:tc>
          <w:tcPr>
            <w:tcW w:w="9051" w:type="dxa"/>
            <w:gridSpan w:val="3"/>
            <w:tcBorders>
              <w:top w:val="nil"/>
              <w:left w:val="nil"/>
              <w:bottom w:val="nil"/>
              <w:right w:val="nil"/>
            </w:tcBorders>
            <w:shd w:val="clear" w:color="auto" w:fill="FFFFFF"/>
          </w:tcPr>
          <w:p w:rsidR="000B4DBD" w:rsidRDefault="00CB054D" w:rsidP="003D18D0">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Guyane (tableau CPDPN4) ainsi que celles domiciliées en Guyane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0B4DBD" w:rsidRDefault="000B4DBD">
      <w:pPr>
        <w:adjustRightInd w:val="0"/>
        <w:rPr>
          <w:rFonts w:ascii="Arial" w:hAnsi="Arial" w:cs="Arial"/>
          <w:color w:val="000000"/>
          <w:sz w:val="22"/>
          <w:szCs w:val="22"/>
        </w:rPr>
      </w:pPr>
    </w:p>
    <w:p w:rsidR="008D7778" w:rsidRDefault="008D7778">
      <w:pPr>
        <w:adjustRightInd w:val="0"/>
        <w:rPr>
          <w:rFonts w:ascii="Arial" w:hAnsi="Arial" w:cs="Arial"/>
          <w:color w:val="000000"/>
          <w:sz w:val="22"/>
          <w:szCs w:val="22"/>
        </w:rPr>
      </w:pPr>
    </w:p>
    <w:p w:rsidR="008D7778" w:rsidRDefault="008D7778" w:rsidP="008D7778">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7 270 naissances</w:t>
      </w:r>
      <w:r w:rsidRPr="00BF3304">
        <w:rPr>
          <w:rFonts w:ascii="Arial" w:hAnsi="Arial" w:cs="Arial"/>
          <w:color w:val="000000"/>
          <w:sz w:val="22"/>
          <w:szCs w:val="22"/>
        </w:rPr>
        <w:t xml:space="preserve"> ont été domiciliées</w:t>
      </w:r>
      <w:r>
        <w:rPr>
          <w:rFonts w:ascii="Arial" w:hAnsi="Arial" w:cs="Arial"/>
          <w:color w:val="000000"/>
          <w:sz w:val="22"/>
          <w:szCs w:val="22"/>
        </w:rPr>
        <w:t xml:space="preserve"> dans la région Guyane, représentant 0,9% du volume national de naissances (Tableau CPDPN1). </w:t>
      </w:r>
    </w:p>
    <w:p w:rsidR="008D7778" w:rsidRDefault="008D7778" w:rsidP="008D7778">
      <w:pPr>
        <w:adjustRightInd w:val="0"/>
        <w:jc w:val="both"/>
        <w:rPr>
          <w:rFonts w:ascii="Arial" w:hAnsi="Arial" w:cs="Arial"/>
          <w:color w:val="000000"/>
          <w:sz w:val="22"/>
          <w:szCs w:val="22"/>
        </w:rPr>
      </w:pPr>
    </w:p>
    <w:p w:rsidR="008D7778" w:rsidRDefault="008D7778" w:rsidP="008D7778">
      <w:pPr>
        <w:adjustRightInd w:val="0"/>
        <w:jc w:val="both"/>
        <w:rPr>
          <w:rFonts w:ascii="Arial" w:hAnsi="Arial" w:cs="Arial"/>
          <w:color w:val="000000"/>
          <w:sz w:val="22"/>
          <w:szCs w:val="22"/>
        </w:rPr>
      </w:pPr>
      <w:r>
        <w:rPr>
          <w:rFonts w:ascii="Arial" w:hAnsi="Arial" w:cs="Arial"/>
          <w:color w:val="000000"/>
          <w:sz w:val="22"/>
          <w:szCs w:val="22"/>
        </w:rPr>
        <w:lastRenderedPageBreak/>
        <w:t>Aucun CPDPN</w:t>
      </w:r>
      <w:r w:rsidRPr="00BF3304">
        <w:rPr>
          <w:rFonts w:ascii="Arial" w:hAnsi="Arial" w:cs="Arial"/>
          <w:color w:val="000000"/>
          <w:sz w:val="22"/>
          <w:szCs w:val="22"/>
        </w:rPr>
        <w:t xml:space="preserve"> </w:t>
      </w:r>
      <w:r>
        <w:rPr>
          <w:rFonts w:ascii="Arial" w:hAnsi="Arial" w:cs="Arial"/>
          <w:color w:val="000000"/>
          <w:sz w:val="22"/>
          <w:szCs w:val="22"/>
        </w:rPr>
        <w:t xml:space="preserve">n’y </w:t>
      </w:r>
      <w:r w:rsidRPr="00BF3304">
        <w:rPr>
          <w:rFonts w:ascii="Arial" w:hAnsi="Arial" w:cs="Arial"/>
          <w:color w:val="000000"/>
          <w:sz w:val="22"/>
          <w:szCs w:val="22"/>
        </w:rPr>
        <w:t>était autorisé</w:t>
      </w:r>
      <w:r>
        <w:rPr>
          <w:rFonts w:ascii="Arial" w:hAnsi="Arial" w:cs="Arial"/>
          <w:color w:val="000000"/>
          <w:sz w:val="22"/>
          <w:szCs w:val="22"/>
        </w:rPr>
        <w:t>. Cependant, les femmes domiciliées en Guyane ont pu bénéficier de l’expertise des CPDPN d’autres régions puisqu’elles étaient 147 à y avoir recouru, soit rapporté au nombre de naissances domiciliées dans la région, un taux de 2,02%</w:t>
      </w:r>
      <w:r w:rsidR="005873D5">
        <w:rPr>
          <w:rFonts w:ascii="Arial" w:hAnsi="Arial" w:cs="Arial"/>
          <w:color w:val="000000"/>
          <w:sz w:val="22"/>
          <w:szCs w:val="22"/>
        </w:rPr>
        <w:t>(Tableau CPDPN5b)</w:t>
      </w:r>
      <w:r>
        <w:rPr>
          <w:rFonts w:ascii="Arial" w:hAnsi="Arial" w:cs="Arial"/>
          <w:color w:val="000000"/>
          <w:sz w:val="22"/>
          <w:szCs w:val="22"/>
        </w:rPr>
        <w:t>. Ce taux était plus faible que le</w:t>
      </w:r>
      <w:r w:rsidR="005873D5">
        <w:rPr>
          <w:rFonts w:ascii="Arial" w:hAnsi="Arial" w:cs="Arial"/>
          <w:color w:val="000000"/>
          <w:sz w:val="22"/>
          <w:szCs w:val="22"/>
        </w:rPr>
        <w:t xml:space="preserve"> taux national qui était de 4,15</w:t>
      </w:r>
      <w:r>
        <w:rPr>
          <w:rFonts w:ascii="Arial" w:hAnsi="Arial" w:cs="Arial"/>
          <w:color w:val="000000"/>
          <w:sz w:val="22"/>
          <w:szCs w:val="22"/>
        </w:rPr>
        <w:t>%</w:t>
      </w:r>
      <w:r w:rsidR="005873D5">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8D7778" w:rsidRPr="00BF3304" w:rsidRDefault="008D7778" w:rsidP="008D7778">
      <w:pPr>
        <w:adjustRightInd w:val="0"/>
        <w:jc w:val="both"/>
        <w:rPr>
          <w:rFonts w:ascii="Arial" w:hAnsi="Arial" w:cs="Arial"/>
          <w:color w:val="000000"/>
          <w:sz w:val="22"/>
          <w:szCs w:val="22"/>
        </w:rPr>
      </w:pPr>
      <w:r>
        <w:rPr>
          <w:rFonts w:ascii="Arial" w:hAnsi="Arial" w:cs="Arial"/>
          <w:color w:val="000000"/>
          <w:sz w:val="22"/>
          <w:szCs w:val="22"/>
        </w:rPr>
        <w:t>Plus de la moitié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(52,38</w:t>
      </w:r>
      <w:r w:rsidRPr="00BF3304">
        <w:rPr>
          <w:rFonts w:ascii="Arial" w:hAnsi="Arial" w:cs="Arial"/>
          <w:color w:val="000000"/>
          <w:sz w:val="22"/>
          <w:szCs w:val="22"/>
        </w:rPr>
        <w:t xml:space="preserve">%) sont allées </w:t>
      </w:r>
      <w:r>
        <w:rPr>
          <w:rFonts w:ascii="Arial" w:hAnsi="Arial" w:cs="Arial"/>
          <w:color w:val="000000"/>
          <w:sz w:val="22"/>
          <w:szCs w:val="22"/>
        </w:rPr>
        <w:t>en Martinique, les autres sont allées majoritairement en Normandie (44,22%) et en Nouvelle-Aquitaine (2,04%) (Tableau CPDPN5).</w:t>
      </w:r>
    </w:p>
    <w:p w:rsidR="008D7778" w:rsidRDefault="008D7778" w:rsidP="008D7778"/>
    <w:p w:rsidR="008D7778" w:rsidRPr="00860101" w:rsidRDefault="008D7778" w:rsidP="008D7778">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 xml:space="preserve">en dépit de la possibilité d’accéder à une expertise d’un CPDPN d’une autre </w:t>
      </w:r>
      <w:proofErr w:type="gramStart"/>
      <w:r>
        <w:rPr>
          <w:rFonts w:ascii="Arial" w:hAnsi="Arial" w:cs="Arial"/>
          <w:sz w:val="22"/>
          <w:szCs w:val="22"/>
        </w:rPr>
        <w:t>région</w:t>
      </w:r>
      <w:proofErr w:type="gramEnd"/>
      <w:r>
        <w:rPr>
          <w:rFonts w:ascii="Arial" w:hAnsi="Arial" w:cs="Arial"/>
          <w:sz w:val="22"/>
          <w:szCs w:val="22"/>
        </w:rPr>
        <w:t xml:space="preserve">, le recours à un CPDPN des femmes domiciliées en Guyane </w:t>
      </w:r>
      <w:r>
        <w:rPr>
          <w:rFonts w:ascii="Arial" w:hAnsi="Arial" w:cs="Arial"/>
          <w:color w:val="000000"/>
          <w:sz w:val="22"/>
          <w:szCs w:val="22"/>
        </w:rPr>
        <w:t xml:space="preserve">était plus faible que pour l’ensemble des femmes du le territoire national. </w:t>
      </w:r>
    </w:p>
    <w:p w:rsidR="008D7778" w:rsidRDefault="008D7778" w:rsidP="008D7778"/>
    <w:p w:rsidR="008D7778" w:rsidRDefault="008D7778" w:rsidP="008D7778"/>
    <w:p w:rsidR="008D7778" w:rsidRDefault="008D7778">
      <w:pPr>
        <w:adjustRightInd w:val="0"/>
        <w:rPr>
          <w:rFonts w:ascii="Arial" w:hAnsi="Arial" w:cs="Arial"/>
          <w:color w:val="000000"/>
          <w:sz w:val="22"/>
          <w:szCs w:val="22"/>
        </w:rPr>
        <w:sectPr w:rsidR="008D7778">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0B4DBD">
        <w:trPr>
          <w:cantSplit/>
          <w:jc w:val="center"/>
        </w:trPr>
        <w:tc>
          <w:tcPr>
            <w:tcW w:w="9051" w:type="dxa"/>
            <w:gridSpan w:val="4"/>
            <w:tcBorders>
              <w:top w:val="nil"/>
              <w:left w:val="nil"/>
              <w:bottom w:val="nil"/>
              <w:right w:val="nil"/>
            </w:tcBorders>
            <w:shd w:val="clear" w:color="auto" w:fill="FFFFFF"/>
          </w:tcPr>
          <w:p w:rsidR="00BB08EF" w:rsidRDefault="00CB054D">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0B4DBD">
        <w:trPr>
          <w:cantSplit/>
          <w:jc w:val="center"/>
        </w:trPr>
        <w:tc>
          <w:tcPr>
            <w:tcW w:w="9051" w:type="dxa"/>
            <w:gridSpan w:val="4"/>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0B4DBD">
        <w:trPr>
          <w:cantSplit/>
          <w:jc w:val="center"/>
        </w:trPr>
        <w:tc>
          <w:tcPr>
            <w:tcW w:w="9051" w:type="dxa"/>
            <w:gridSpan w:val="4"/>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BB08EF">
        <w:trPr>
          <w:cantSplit/>
          <w:jc w:val="center"/>
        </w:trPr>
        <w:tc>
          <w:tcPr>
            <w:tcW w:w="9051" w:type="dxa"/>
            <w:gridSpan w:val="4"/>
            <w:tcBorders>
              <w:top w:val="nil"/>
              <w:left w:val="nil"/>
              <w:bottom w:val="nil"/>
              <w:right w:val="nil"/>
            </w:tcBorders>
            <w:shd w:val="clear" w:color="auto" w:fill="FFFFFF"/>
          </w:tcPr>
          <w:p w:rsidR="00BB08EF" w:rsidRDefault="00BB08EF" w:rsidP="00BB08EF">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0B4DB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0B4DB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0B4DB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B4DBD" w:rsidRDefault="00CB054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B4DBD" w:rsidRDefault="00CB054D">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0B4DB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BB08EF">
        <w:trPr>
          <w:cantSplit/>
          <w:jc w:val="center"/>
        </w:trPr>
        <w:tc>
          <w:tcPr>
            <w:tcW w:w="9051" w:type="dxa"/>
            <w:gridSpan w:val="4"/>
            <w:tcBorders>
              <w:top w:val="nil"/>
              <w:left w:val="nil"/>
              <w:bottom w:val="nil"/>
              <w:right w:val="nil"/>
            </w:tcBorders>
            <w:shd w:val="clear" w:color="auto" w:fill="FFFFFF"/>
          </w:tcPr>
          <w:p w:rsidR="00BB08EF" w:rsidRDefault="00BB08EF" w:rsidP="00BB08EF">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0B4DBD">
        <w:trPr>
          <w:cantSplit/>
          <w:jc w:val="center"/>
        </w:trPr>
        <w:tc>
          <w:tcPr>
            <w:tcW w:w="9051" w:type="dxa"/>
            <w:gridSpan w:val="4"/>
            <w:tcBorders>
              <w:top w:val="nil"/>
              <w:left w:val="nil"/>
              <w:bottom w:val="nil"/>
              <w:right w:val="nil"/>
            </w:tcBorders>
            <w:shd w:val="clear" w:color="auto" w:fill="FFFFFF"/>
          </w:tcPr>
          <w:p w:rsidR="00BB08EF" w:rsidRDefault="00BB08EF" w:rsidP="00BB08EF">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en Guyane.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0B4DBD" w:rsidRDefault="000B4DBD">
            <w:pPr>
              <w:adjustRightInd w:val="0"/>
              <w:jc w:val="both"/>
              <w:rPr>
                <w:rFonts w:ascii="Arial" w:hAnsi="Arial" w:cs="Arial"/>
                <w:color w:val="000000"/>
                <w:sz w:val="22"/>
                <w:szCs w:val="22"/>
              </w:rPr>
            </w:pPr>
          </w:p>
          <w:p w:rsidR="00BB08EF" w:rsidRDefault="00BB08EF" w:rsidP="00BB08EF">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Guyane</w:t>
            </w:r>
            <w:r w:rsidRPr="00724245">
              <w:rPr>
                <w:rFonts w:ascii="Arial" w:hAnsi="Arial" w:cs="Arial"/>
                <w:color w:val="000000"/>
                <w:sz w:val="22"/>
                <w:szCs w:val="22"/>
              </w:rPr>
              <w:t xml:space="preserve">, </w:t>
            </w:r>
            <w:r>
              <w:rPr>
                <w:rFonts w:ascii="Arial" w:hAnsi="Arial" w:cs="Arial"/>
                <w:color w:val="000000"/>
                <w:sz w:val="22"/>
                <w:szCs w:val="22"/>
              </w:rPr>
              <w:t>1 laboratoire réparti avai</w:t>
            </w:r>
            <w:r w:rsidRPr="00724245">
              <w:rPr>
                <w:rFonts w:ascii="Arial" w:hAnsi="Arial" w:cs="Arial"/>
                <w:color w:val="000000"/>
                <w:sz w:val="22"/>
                <w:szCs w:val="22"/>
              </w:rPr>
              <w:t>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BB08EF" w:rsidRPr="00724245" w:rsidRDefault="00BB08EF" w:rsidP="00BB08EF">
            <w:pPr>
              <w:adjustRightInd w:val="0"/>
              <w:spacing w:before="48" w:after="48"/>
              <w:jc w:val="both"/>
              <w:rPr>
                <w:rFonts w:ascii="Arial" w:hAnsi="Arial" w:cs="Arial"/>
                <w:color w:val="000000"/>
                <w:sz w:val="22"/>
                <w:szCs w:val="22"/>
              </w:rPr>
            </w:pPr>
            <w:r>
              <w:rPr>
                <w:rFonts w:ascii="Arial" w:hAnsi="Arial" w:cs="Arial"/>
                <w:color w:val="000000"/>
                <w:sz w:val="22"/>
                <w:szCs w:val="22"/>
              </w:rPr>
              <w:t xml:space="preserve">Son activité portait sur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BB08EF" w:rsidRDefault="00BB08EF" w:rsidP="00BB08EF">
            <w:pPr>
              <w:adjustRightInd w:val="0"/>
              <w:spacing w:before="48" w:after="48"/>
              <w:jc w:val="both"/>
              <w:rPr>
                <w:rFonts w:ascii="Arial" w:hAnsi="Arial" w:cs="Arial"/>
                <w:color w:val="000000"/>
                <w:sz w:val="22"/>
                <w:szCs w:val="22"/>
              </w:rPr>
            </w:pPr>
            <w:r>
              <w:rPr>
                <w:rFonts w:ascii="Arial" w:hAnsi="Arial" w:cs="Arial"/>
                <w:color w:val="000000"/>
                <w:sz w:val="22"/>
                <w:szCs w:val="22"/>
              </w:rPr>
              <w:t>Aucun prélèvement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BB08EF" w:rsidRPr="00724245" w:rsidRDefault="00BB08EF" w:rsidP="00BB08EF">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52,5</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47,5</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BB08EF" w:rsidRDefault="00BB08EF" w:rsidP="00BB08EF"/>
          <w:p w:rsidR="00BB08EF" w:rsidRDefault="00BB08EF">
            <w:pPr>
              <w:adjustRightInd w:val="0"/>
              <w:jc w:val="both"/>
              <w:rPr>
                <w:rFonts w:ascii="Arial" w:hAnsi="Arial" w:cs="Arial"/>
                <w:color w:val="000000"/>
                <w:sz w:val="22"/>
                <w:szCs w:val="22"/>
              </w:rPr>
            </w:pPr>
          </w:p>
        </w:tc>
      </w:tr>
      <w:tr w:rsidR="000B4DBD">
        <w:trPr>
          <w:cantSplit/>
          <w:jc w:val="center"/>
        </w:trPr>
        <w:tc>
          <w:tcPr>
            <w:tcW w:w="9051" w:type="dxa"/>
            <w:gridSpan w:val="4"/>
            <w:tcBorders>
              <w:top w:val="nil"/>
              <w:left w:val="nil"/>
              <w:bottom w:val="nil"/>
              <w:right w:val="nil"/>
            </w:tcBorders>
            <w:shd w:val="clear" w:color="auto" w:fill="FFFFFF"/>
          </w:tcPr>
          <w:p w:rsidR="005307E9" w:rsidRDefault="00CB054D" w:rsidP="005307E9">
            <w:pPr>
              <w:adjustRightInd w:val="0"/>
              <w:jc w:val="both"/>
              <w:rPr>
                <w:rFonts w:ascii="Arial" w:hAnsi="Arial" w:cs="Arial"/>
                <w:color w:val="000000"/>
                <w:sz w:val="22"/>
                <w:szCs w:val="22"/>
              </w:rPr>
            </w:pPr>
            <w:r>
              <w:rPr>
                <w:rFonts w:ascii="Arial" w:hAnsi="Arial" w:cs="Arial"/>
                <w:color w:val="000000"/>
                <w:sz w:val="22"/>
                <w:szCs w:val="22"/>
              </w:rPr>
              <w:br/>
            </w:r>
            <w:r w:rsidR="005307E9">
              <w:rPr>
                <w:rFonts w:ascii="Arial" w:hAnsi="Arial" w:cs="Arial"/>
                <w:b/>
                <w:bCs/>
                <w:color w:val="000000"/>
                <w:sz w:val="22"/>
                <w:szCs w:val="22"/>
              </w:rPr>
              <w:t xml:space="preserve">Génétique postnatale </w:t>
            </w:r>
            <w:r w:rsidR="005307E9">
              <w:rPr>
                <w:rFonts w:ascii="Arial" w:hAnsi="Arial" w:cs="Arial"/>
                <w:color w:val="000000"/>
                <w:sz w:val="22"/>
                <w:szCs w:val="22"/>
              </w:rPr>
              <w:tab/>
            </w:r>
            <w:r w:rsidR="005307E9">
              <w:rPr>
                <w:rFonts w:ascii="Arial" w:hAnsi="Arial" w:cs="Arial"/>
                <w:color w:val="000000"/>
                <w:sz w:val="22"/>
                <w:szCs w:val="22"/>
              </w:rPr>
              <w:tab/>
            </w:r>
            <w:r w:rsidR="005307E9">
              <w:rPr>
                <w:rFonts w:ascii="Arial" w:hAnsi="Arial" w:cs="Arial"/>
                <w:color w:val="000000"/>
                <w:sz w:val="22"/>
                <w:szCs w:val="22"/>
              </w:rPr>
              <w:tab/>
            </w:r>
            <w:r w:rsidR="005307E9">
              <w:rPr>
                <w:rFonts w:ascii="Arial" w:hAnsi="Arial" w:cs="Arial"/>
                <w:color w:val="000000"/>
                <w:sz w:val="22"/>
                <w:szCs w:val="22"/>
              </w:rPr>
              <w:br/>
            </w:r>
          </w:p>
          <w:p w:rsidR="005307E9" w:rsidRDefault="005307E9" w:rsidP="005307E9">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0B4DBD" w:rsidRDefault="005307E9" w:rsidP="005307E9">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0B4DBD">
        <w:trPr>
          <w:cantSplit/>
          <w:jc w:val="center"/>
        </w:trPr>
        <w:tc>
          <w:tcPr>
            <w:tcW w:w="9051" w:type="dxa"/>
            <w:gridSpan w:val="4"/>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0B4DB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0B4DB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B4DBD" w:rsidRDefault="00CB054D">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0B4DBD" w:rsidRDefault="00CB054D">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0B4DB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0B4DBD" w:rsidRDefault="00CB054D">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0B4DBD">
        <w:trPr>
          <w:cantSplit/>
          <w:jc w:val="center"/>
        </w:trPr>
        <w:tc>
          <w:tcPr>
            <w:tcW w:w="9051" w:type="dxa"/>
            <w:gridSpan w:val="4"/>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0B4DBD">
        <w:trPr>
          <w:cantSplit/>
          <w:jc w:val="center"/>
        </w:trPr>
        <w:tc>
          <w:tcPr>
            <w:tcW w:w="9051" w:type="dxa"/>
            <w:gridSpan w:val="4"/>
            <w:tcBorders>
              <w:top w:val="nil"/>
              <w:left w:val="nil"/>
              <w:bottom w:val="nil"/>
              <w:right w:val="nil"/>
            </w:tcBorders>
            <w:shd w:val="clear" w:color="auto" w:fill="FFFFFF"/>
          </w:tcPr>
          <w:p w:rsidR="000B4DBD" w:rsidRDefault="00CB054D">
            <w:pPr>
              <w:adjustRightInd w:val="0"/>
              <w:jc w:val="both"/>
              <w:rPr>
                <w:rFonts w:ascii="Arial" w:hAnsi="Arial" w:cs="Arial"/>
                <w:color w:val="000000"/>
                <w:sz w:val="22"/>
                <w:szCs w:val="22"/>
              </w:rPr>
            </w:pPr>
            <w:r>
              <w:rPr>
                <w:rFonts w:ascii="Arial" w:hAnsi="Arial" w:cs="Arial"/>
                <w:color w:val="000000"/>
                <w:sz w:val="22"/>
                <w:szCs w:val="22"/>
              </w:rPr>
              <w:br/>
              <w:t>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w:t>
            </w:r>
            <w:r w:rsidR="001A7CFD">
              <w:rPr>
                <w:rFonts w:ascii="Arial" w:hAnsi="Arial" w:cs="Arial"/>
                <w:color w:val="000000"/>
                <w:sz w:val="22"/>
                <w:szCs w:val="22"/>
              </w:rPr>
              <w:t xml:space="preserve"> (ACPA)</w:t>
            </w:r>
            <w:r>
              <w:rPr>
                <w:rFonts w:ascii="Arial" w:hAnsi="Arial" w:cs="Arial"/>
                <w:color w:val="000000"/>
                <w:sz w:val="22"/>
                <w:szCs w:val="22"/>
              </w:rPr>
              <w:t xml:space="preserve"> ; techniques de séquençage à haut débit aussi appelées séquençage de nouvelle génération ou NGS).</w:t>
            </w:r>
          </w:p>
          <w:p w:rsidR="001A7CFD" w:rsidRDefault="001A7CFD" w:rsidP="001A7CFD">
            <w:pPr>
              <w:adjustRightInd w:val="0"/>
              <w:jc w:val="both"/>
              <w:rPr>
                <w:rFonts w:ascii="Arial" w:hAnsi="Arial" w:cs="Arial"/>
                <w:color w:val="000000"/>
                <w:sz w:val="22"/>
                <w:szCs w:val="22"/>
              </w:rPr>
            </w:pPr>
          </w:p>
          <w:p w:rsidR="001A7CFD" w:rsidRPr="006E668B" w:rsidRDefault="001A7CFD" w:rsidP="001A7CFD">
            <w:pPr>
              <w:adjustRightInd w:val="0"/>
              <w:jc w:val="both"/>
              <w:rPr>
                <w:rFonts w:ascii="Arial" w:hAnsi="Arial" w:cs="Arial"/>
                <w:color w:val="000000"/>
                <w:sz w:val="22"/>
                <w:szCs w:val="22"/>
              </w:rPr>
            </w:pPr>
            <w:r>
              <w:rPr>
                <w:rFonts w:ascii="Arial" w:hAnsi="Arial" w:cs="Arial"/>
                <w:color w:val="000000"/>
                <w:sz w:val="22"/>
                <w:szCs w:val="22"/>
              </w:rPr>
              <w:t xml:space="preserve">Il n’y a pas de laboratoire de génétique en </w:t>
            </w:r>
            <w:r w:rsidR="00411383">
              <w:rPr>
                <w:rFonts w:ascii="Arial" w:hAnsi="Arial" w:cs="Arial"/>
                <w:color w:val="000000"/>
                <w:sz w:val="22"/>
                <w:szCs w:val="22"/>
              </w:rPr>
              <w:t>Guyane</w:t>
            </w:r>
            <w:r>
              <w:rPr>
                <w:rFonts w:ascii="Arial" w:hAnsi="Arial" w:cs="Arial"/>
                <w:color w:val="000000"/>
                <w:sz w:val="22"/>
                <w:szCs w:val="22"/>
              </w:rPr>
              <w:t>.</w:t>
            </w:r>
          </w:p>
          <w:p w:rsidR="001A7CFD" w:rsidRDefault="001A7CFD" w:rsidP="001A7CFD">
            <w:pPr>
              <w:adjustRightInd w:val="0"/>
              <w:jc w:val="both"/>
              <w:rPr>
                <w:rFonts w:ascii="Arial" w:hAnsi="Arial" w:cs="Arial"/>
                <w:color w:val="000000"/>
                <w:sz w:val="22"/>
                <w:szCs w:val="22"/>
              </w:rPr>
            </w:pPr>
            <w:r w:rsidRPr="006E668B">
              <w:rPr>
                <w:rFonts w:ascii="Arial" w:hAnsi="Arial" w:cs="Arial"/>
                <w:color w:val="000000"/>
                <w:sz w:val="22"/>
                <w:szCs w:val="22"/>
              </w:rPr>
              <w:t xml:space="preserve">Il est néanmoins important de ne pas oublier que la génétique postnatale concerne le plus souvent des maladies rares pour lesquelles l'offre de soins s'analyse plutôt au niveau </w:t>
            </w:r>
            <w:r>
              <w:rPr>
                <w:rFonts w:ascii="Arial" w:hAnsi="Arial" w:cs="Arial"/>
                <w:color w:val="000000"/>
                <w:sz w:val="22"/>
                <w:szCs w:val="22"/>
              </w:rPr>
              <w:t>national qu'au niveau régional.</w:t>
            </w:r>
          </w:p>
        </w:tc>
      </w:tr>
    </w:tbl>
    <w:p w:rsidR="000B4DBD" w:rsidRDefault="000B4DBD">
      <w:pPr>
        <w:adjustRightInd w:val="0"/>
        <w:rPr>
          <w:rFonts w:ascii="Arial" w:hAnsi="Arial" w:cs="Arial"/>
          <w:color w:val="000000"/>
          <w:sz w:val="22"/>
          <w:szCs w:val="22"/>
        </w:rPr>
        <w:sectPr w:rsidR="000B4DBD">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b/>
                <w:bCs/>
                <w:color w:val="000000"/>
              </w:rPr>
              <w:br/>
              <w:t>Aucun CPDPN n'est installé dans la région Guyane.</w:t>
            </w:r>
            <w:r>
              <w:rPr>
                <w:rFonts w:ascii="Arial" w:hAnsi="Arial" w:cs="Arial"/>
                <w:b/>
                <w:bCs/>
                <w:color w:val="000000"/>
              </w:rPr>
              <w:br/>
              <w:t>Les tableaux CPDPN2 à 4 et le tableau CPDPN6 ne sont pas produits.</w:t>
            </w:r>
          </w:p>
        </w:tc>
      </w:tr>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b/>
                <w:bCs/>
                <w:color w:val="000000"/>
              </w:rPr>
              <w:br/>
              <w:t>Tableau CPDPN1. Nombre de naissances dans la région Guyane et en France en 2016</w:t>
            </w:r>
          </w:p>
        </w:tc>
      </w:tr>
    </w:tbl>
    <w:p w:rsidR="000B4DBD" w:rsidRDefault="000B4DBD">
      <w:pPr>
        <w:adjustRightInd w:val="0"/>
        <w:rPr>
          <w:rFonts w:ascii="Arial" w:hAnsi="Arial" w:cs="Arial"/>
          <w:b/>
          <w:bCs/>
          <w:color w:val="000000"/>
        </w:rPr>
      </w:pPr>
    </w:p>
    <w:p w:rsidR="000B4DBD" w:rsidRDefault="000B4DBD">
      <w:pPr>
        <w:adjustRightInd w:val="0"/>
        <w:rPr>
          <w:rFonts w:ascii="Arial" w:hAnsi="Arial" w:cs="Arial"/>
          <w:b/>
          <w:bCs/>
          <w:color w:val="000000"/>
        </w:rPr>
        <w:sectPr w:rsidR="000B4DBD">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0B4DBD">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0B4DBD">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7 270</w:t>
            </w:r>
          </w:p>
        </w:tc>
      </w:tr>
      <w:tr w:rsidR="000B4DBD">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0B4DBD" w:rsidRDefault="000B4DB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 Régions d'implantation des CPDPN qui ont examiné les dossiers des femmes/couples résidant dans la région Guyane en 2016</w:t>
            </w:r>
          </w:p>
        </w:tc>
      </w:tr>
    </w:tbl>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19"/>
          <w:footerReference w:type="default" r:id="rId20"/>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5991"/>
        <w:gridCol w:w="1509"/>
        <w:gridCol w:w="1509"/>
        <w:gridCol w:w="9"/>
      </w:tblGrid>
      <w:tr w:rsidR="00CB054D" w:rsidTr="007B34D6">
        <w:trPr>
          <w:gridBefore w:val="1"/>
          <w:gridAfter w:val="1"/>
          <w:wBefore w:w="53" w:type="dxa"/>
          <w:wAfter w:w="9" w:type="dxa"/>
          <w:cantSplit/>
          <w:tblHeader/>
        </w:trPr>
        <w:tc>
          <w:tcPr>
            <w:tcW w:w="599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B054D" w:rsidRDefault="00CB054D">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Localisation des CPDPN</w:t>
            </w:r>
          </w:p>
          <w:p w:rsidR="00CB054D" w:rsidRDefault="00CB054D" w:rsidP="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B054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Guyane</w:t>
            </w:r>
          </w:p>
        </w:tc>
      </w:tr>
      <w:tr w:rsidR="00CB054D" w:rsidTr="007B34D6">
        <w:trPr>
          <w:gridBefore w:val="1"/>
          <w:gridAfter w:val="1"/>
          <w:wBefore w:w="53" w:type="dxa"/>
          <w:wAfter w:w="9" w:type="dxa"/>
          <w:cantSplit/>
          <w:tblHeader/>
        </w:trPr>
        <w:tc>
          <w:tcPr>
            <w:tcW w:w="5991" w:type="dxa"/>
            <w:vMerge/>
            <w:tcBorders>
              <w:left w:val="single" w:sz="4" w:space="0" w:color="000000"/>
              <w:bottom w:val="single" w:sz="4" w:space="0" w:color="000000"/>
              <w:right w:val="nil"/>
            </w:tcBorders>
            <w:shd w:val="clear" w:color="auto" w:fill="FFFFFF"/>
            <w:tcMar>
              <w:left w:w="48" w:type="dxa"/>
              <w:right w:w="48" w:type="dxa"/>
            </w:tcMar>
            <w:vAlign w:val="center"/>
          </w:tcPr>
          <w:p w:rsidR="00CB054D" w:rsidRDefault="00CB054D">
            <w:pPr>
              <w:keepNext/>
              <w:adjustRightInd w:val="0"/>
              <w:spacing w:before="48" w:after="48"/>
              <w:jc w:val="center"/>
              <w:rPr>
                <w:rFonts w:ascii="Arial" w:hAnsi="Arial" w:cs="Arial"/>
                <w:b/>
                <w:bCs/>
                <w:color w:val="000000"/>
                <w:sz w:val="18"/>
                <w:szCs w:val="18"/>
              </w:rPr>
            </w:pP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CB054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B054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77</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52,38%</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44,22%</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1,36%</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0,68%</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0,68%</w:t>
            </w:r>
          </w:p>
        </w:tc>
      </w:tr>
      <w:tr w:rsidR="000B4DBD" w:rsidTr="007B34D6">
        <w:trPr>
          <w:gridBefore w:val="1"/>
          <w:gridAfter w:val="1"/>
          <w:wBefore w:w="53" w:type="dxa"/>
          <w:wAfter w:w="9" w:type="dxa"/>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0,68%</w:t>
            </w:r>
          </w:p>
        </w:tc>
      </w:tr>
      <w:tr w:rsidR="000B4DBD" w:rsidTr="007B34D6">
        <w:tblPrEx>
          <w:jc w:val="center"/>
          <w:tblInd w:w="0" w:type="dxa"/>
        </w:tblPrEx>
        <w:trPr>
          <w:cantSplit/>
          <w:jc w:val="center"/>
        </w:trPr>
        <w:tc>
          <w:tcPr>
            <w:tcW w:w="9071" w:type="dxa"/>
            <w:gridSpan w:val="5"/>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CPDPN5b. Nombre de femmes/couples résidant dans la région Guyane et en France vus par un CPDPN en 2016</w:t>
            </w:r>
          </w:p>
        </w:tc>
      </w:tr>
    </w:tbl>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0B4DBD">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0B4DBD">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147</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2,02%</w:t>
            </w:r>
          </w:p>
        </w:tc>
      </w:tr>
      <w:tr w:rsidR="00AF42EB">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42EB" w:rsidRDefault="00AF42EB" w:rsidP="00AF42EB">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42EB" w:rsidRDefault="00AF42EB" w:rsidP="00AF42E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42EB" w:rsidRDefault="00AF42EB" w:rsidP="00AF42E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0B4DBD" w:rsidRDefault="000B4DB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bl>
    <w:p w:rsidR="000B4DBD" w:rsidRDefault="000B4DBD">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Default="009E09C5">
      <w:pPr>
        <w:adjustRightInd w:val="0"/>
        <w:rPr>
          <w:rFonts w:ascii="Arial" w:hAnsi="Arial" w:cs="Arial"/>
          <w:i/>
          <w:iCs/>
          <w:color w:val="000000"/>
          <w:sz w:val="16"/>
          <w:szCs w:val="16"/>
        </w:rPr>
      </w:pPr>
    </w:p>
    <w:p w:rsidR="009E09C5" w:rsidRPr="009E09C5" w:rsidRDefault="009E09C5" w:rsidP="009E09C5">
      <w:pPr>
        <w:autoSpaceDE/>
        <w:autoSpaceDN/>
        <w:spacing w:after="160" w:line="259" w:lineRule="auto"/>
        <w:rPr>
          <w:rFonts w:ascii="Arial" w:eastAsiaTheme="minorHAnsi" w:hAnsi="Arial" w:cs="Arial"/>
          <w:b/>
          <w:bCs/>
          <w:color w:val="000000"/>
          <w:sz w:val="22"/>
          <w:szCs w:val="22"/>
          <w:lang w:eastAsia="en-US"/>
        </w:rPr>
      </w:pPr>
      <w:r w:rsidRPr="009E09C5">
        <w:rPr>
          <w:rFonts w:ascii="Arial" w:eastAsiaTheme="minorHAnsi" w:hAnsi="Arial" w:cs="Arial"/>
          <w:b/>
          <w:bCs/>
          <w:color w:val="000000"/>
          <w:sz w:val="22"/>
          <w:szCs w:val="22"/>
          <w:lang w:eastAsia="en-US"/>
        </w:rPr>
        <w:lastRenderedPageBreak/>
        <w:t xml:space="preserve">Figure CPDPN1. Accès régional au CPDPN : </w:t>
      </w:r>
      <w:r w:rsidRPr="009E09C5">
        <w:rPr>
          <w:rFonts w:ascii="Arial" w:eastAsiaTheme="minorHAnsi" w:hAnsi="Arial" w:cs="Arial"/>
          <w:b/>
          <w:bCs/>
          <w:color w:val="000000"/>
          <w:szCs w:val="22"/>
          <w:lang w:eastAsia="en-US"/>
        </w:rPr>
        <w:t>répartition</w:t>
      </w:r>
      <w:r w:rsidRPr="009E09C5">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9E09C5" w:rsidRPr="009E09C5" w:rsidRDefault="009E09C5" w:rsidP="009E09C5">
      <w:pPr>
        <w:autoSpaceDE/>
        <w:autoSpaceDN/>
        <w:spacing w:after="160" w:line="259" w:lineRule="auto"/>
        <w:rPr>
          <w:rFonts w:ascii="Arial" w:eastAsiaTheme="minorHAnsi" w:hAnsi="Arial" w:cs="Arial"/>
          <w:b/>
          <w:bCs/>
          <w:color w:val="000000"/>
          <w:sz w:val="22"/>
          <w:szCs w:val="22"/>
          <w:lang w:eastAsia="en-US"/>
        </w:rPr>
      </w:pPr>
    </w:p>
    <w:p w:rsidR="009E09C5" w:rsidRPr="009E09C5" w:rsidRDefault="009E09C5" w:rsidP="009E09C5">
      <w:pPr>
        <w:autoSpaceDE/>
        <w:autoSpaceDN/>
        <w:spacing w:after="160" w:line="259" w:lineRule="auto"/>
        <w:rPr>
          <w:rFonts w:asciiTheme="minorHAnsi" w:eastAsiaTheme="minorHAnsi" w:hAnsiTheme="minorHAnsi" w:cstheme="minorBidi"/>
          <w:sz w:val="22"/>
          <w:szCs w:val="22"/>
          <w:lang w:eastAsia="en-US"/>
        </w:rPr>
      </w:pPr>
      <w:r w:rsidRPr="009E09C5">
        <w:rPr>
          <w:rFonts w:asciiTheme="minorHAnsi" w:eastAsiaTheme="minorHAnsi" w:hAnsiTheme="minorHAnsi" w:cstheme="minorBidi"/>
          <w:noProof/>
          <w:sz w:val="22"/>
          <w:szCs w:val="22"/>
        </w:rPr>
        <w:drawing>
          <wp:inline distT="0" distB="0" distL="0" distR="0" wp14:anchorId="792411A7" wp14:editId="77C63F8E">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E09C5">
        <w:rPr>
          <w:rFonts w:asciiTheme="minorHAnsi" w:eastAsiaTheme="minorHAnsi" w:hAnsiTheme="minorHAnsi" w:cstheme="minorBidi"/>
          <w:noProof/>
          <w:sz w:val="22"/>
          <w:szCs w:val="22"/>
        </w:rPr>
        <w:drawing>
          <wp:inline distT="0" distB="0" distL="0" distR="0" wp14:anchorId="0B812F96" wp14:editId="760B50DA">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09C5" w:rsidRDefault="009E09C5">
      <w:pPr>
        <w:adjustRightInd w:val="0"/>
        <w:rPr>
          <w:rFonts w:ascii="Arial" w:hAnsi="Arial" w:cs="Arial"/>
          <w:i/>
          <w:iCs/>
          <w:color w:val="000000"/>
          <w:sz w:val="16"/>
          <w:szCs w:val="16"/>
        </w:rPr>
        <w:sectPr w:rsidR="009E09C5">
          <w:headerReference w:type="default" r:id="rId25"/>
          <w:footerReference w:type="default" r:id="rId26"/>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bookmarkStart w:id="9" w:name="IDX8"/>
            <w:bookmarkEnd w:id="9"/>
            <w:r>
              <w:rPr>
                <w:rFonts w:ascii="Arial" w:hAnsi="Arial" w:cs="Arial"/>
                <w:b/>
                <w:bCs/>
                <w:color w:val="000000"/>
              </w:rPr>
              <w:lastRenderedPageBreak/>
              <w:t>Tableau DPN1. Activités de DPN déclarées par établissement dans la région Guyane en 2016</w:t>
            </w:r>
          </w:p>
        </w:tc>
      </w:tr>
    </w:tbl>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27"/>
          <w:footerReference w:type="default" r:id="rId28"/>
          <w:pgSz w:w="11905" w:h="16837"/>
          <w:pgMar w:top="1701" w:right="1417" w:bottom="1134" w:left="1417" w:header="600" w:footer="600" w:gutter="0"/>
          <w:cols w:space="720"/>
        </w:sectPr>
      </w:pPr>
    </w:p>
    <w:tbl>
      <w:tblPr>
        <w:tblW w:w="9073" w:type="dxa"/>
        <w:tblInd w:w="-5" w:type="dxa"/>
        <w:tblLayout w:type="fixed"/>
        <w:tblCellMar>
          <w:left w:w="0" w:type="dxa"/>
          <w:right w:w="0" w:type="dxa"/>
        </w:tblCellMar>
        <w:tblLook w:val="0000" w:firstRow="0" w:lastRow="0" w:firstColumn="0" w:lastColumn="0" w:noHBand="0" w:noVBand="0"/>
      </w:tblPr>
      <w:tblGrid>
        <w:gridCol w:w="53"/>
        <w:gridCol w:w="1306"/>
        <w:gridCol w:w="2139"/>
        <w:gridCol w:w="1289"/>
        <w:gridCol w:w="1491"/>
        <w:gridCol w:w="1411"/>
        <w:gridCol w:w="1384"/>
      </w:tblGrid>
      <w:tr w:rsidR="000B4DBD" w:rsidTr="00707056">
        <w:trPr>
          <w:gridBefore w:val="1"/>
          <w:wBefore w:w="53" w:type="dxa"/>
          <w:cantSplit/>
          <w:tblHeader/>
        </w:trPr>
        <w:tc>
          <w:tcPr>
            <w:tcW w:w="130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3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28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4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41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0B4DBD" w:rsidTr="00707056">
        <w:trPr>
          <w:gridBefore w:val="1"/>
          <w:wBefore w:w="53" w:type="dxa"/>
          <w:cantSplit/>
        </w:trPr>
        <w:tc>
          <w:tcPr>
            <w:tcW w:w="13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CAYENNE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SITE DE BRASSE</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0B4DBD">
            <w:pPr>
              <w:adjustRightInd w:val="0"/>
              <w:spacing w:before="48" w:after="48"/>
              <w:jc w:val="center"/>
              <w:rPr>
                <w:rFonts w:ascii="Arial" w:hAnsi="Arial" w:cs="Arial"/>
                <w:color w:val="000000"/>
                <w:sz w:val="18"/>
                <w:szCs w:val="18"/>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0B4DBD">
            <w:pPr>
              <w:adjustRightInd w:val="0"/>
              <w:spacing w:before="48" w:after="48"/>
              <w:jc w:val="center"/>
              <w:rPr>
                <w:rFonts w:ascii="Arial" w:hAnsi="Arial" w:cs="Arial"/>
                <w:color w:val="000000"/>
                <w:sz w:val="18"/>
                <w:szCs w:val="18"/>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0B4DBD">
            <w:pPr>
              <w:adjustRightInd w:val="0"/>
              <w:spacing w:before="48" w:after="48"/>
              <w:jc w:val="center"/>
              <w:rPr>
                <w:rFonts w:ascii="Arial" w:hAnsi="Arial" w:cs="Arial"/>
                <w:color w:val="000000"/>
                <w:sz w:val="18"/>
                <w:szCs w:val="18"/>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B4DBD" w:rsidTr="00707056">
        <w:tblPrEx>
          <w:jc w:val="center"/>
          <w:tblInd w:w="0" w:type="dxa"/>
        </w:tblPrEx>
        <w:trPr>
          <w:cantSplit/>
          <w:jc w:val="center"/>
        </w:trPr>
        <w:tc>
          <w:tcPr>
            <w:tcW w:w="9071" w:type="dxa"/>
            <w:gridSpan w:val="7"/>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Guyane et en France en 2016</w:t>
            </w:r>
          </w:p>
        </w:tc>
      </w:tr>
    </w:tbl>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342"/>
        <w:gridCol w:w="2310"/>
        <w:gridCol w:w="2310"/>
      </w:tblGrid>
      <w:tr w:rsidR="00481AAA" w:rsidTr="00512A36">
        <w:trPr>
          <w:cantSplit/>
          <w:tblHeader/>
        </w:trPr>
        <w:tc>
          <w:tcPr>
            <w:tcW w:w="4342"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481AAA" w:rsidRDefault="00481AAA" w:rsidP="00481AAA">
            <w:pPr>
              <w:keepNext/>
              <w:adjustRightInd w:val="0"/>
              <w:spacing w:before="48" w:after="48" w:line="256" w:lineRule="auto"/>
              <w:jc w:val="center"/>
              <w:rPr>
                <w:rFonts w:ascii="Arial" w:hAnsi="Arial" w:cs="Arial"/>
                <w:b/>
                <w:bCs/>
                <w:color w:val="000000"/>
                <w:sz w:val="18"/>
                <w:szCs w:val="18"/>
              </w:rPr>
            </w:pPr>
            <w:bookmarkStart w:id="10" w:name="IDX9"/>
            <w:bookmarkEnd w:id="10"/>
            <w:r>
              <w:rPr>
                <w:rFonts w:ascii="Arial" w:hAnsi="Arial" w:cs="Arial"/>
                <w:b/>
                <w:bCs/>
                <w:color w:val="000000"/>
                <w:sz w:val="18"/>
                <w:szCs w:val="18"/>
              </w:rPr>
              <w:t>Type d'activité</w:t>
            </w: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481AAA" w:rsidTr="00512A36">
        <w:trPr>
          <w:cantSplit/>
          <w:tblHeader/>
        </w:trPr>
        <w:tc>
          <w:tcPr>
            <w:tcW w:w="4342"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481AAA" w:rsidRDefault="00481AAA" w:rsidP="00481AAA">
            <w:pPr>
              <w:keepNext/>
              <w:adjustRightInd w:val="0"/>
              <w:spacing w:before="48" w:after="48" w:line="256" w:lineRule="auto"/>
              <w:jc w:val="center"/>
              <w:rPr>
                <w:rFonts w:ascii="Arial" w:hAnsi="Arial" w:cs="Arial"/>
                <w:b/>
                <w:bCs/>
                <w:color w:val="000000"/>
                <w:sz w:val="18"/>
                <w:szCs w:val="18"/>
              </w:rPr>
            </w:pPr>
          </w:p>
        </w:tc>
        <w:tc>
          <w:tcPr>
            <w:tcW w:w="2310"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481AAA" w:rsidRDefault="00481AAA" w:rsidP="00481AA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Guyane</w:t>
            </w:r>
          </w:p>
        </w:tc>
        <w:tc>
          <w:tcPr>
            <w:tcW w:w="2310"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481AAA" w:rsidTr="00481AAA">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rsidP="00481AAA">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481AAA" w:rsidTr="00481AAA">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rsidP="00481AAA">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481AAA" w:rsidTr="00481AAA">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rsidP="00481AAA">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481AAA" w:rsidTr="00481AAA">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rsidP="00481AAA">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481AAA" w:rsidTr="00481AAA">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481AAA" w:rsidRDefault="00481AAA" w:rsidP="00481AAA">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481AAA" w:rsidRDefault="00481AAA" w:rsidP="00481AA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481AAA" w:rsidRDefault="00481AAA">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DPN3. Nombre de prélèvements étudiés par type d'activité dans la région Guyane et en France en 2016</w:t>
      </w:r>
    </w:p>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307"/>
        <w:gridCol w:w="2358"/>
        <w:gridCol w:w="2358"/>
      </w:tblGrid>
      <w:tr w:rsidR="00D45E2A" w:rsidTr="00D45E2A">
        <w:trPr>
          <w:cantSplit/>
          <w:tblHeader/>
        </w:trPr>
        <w:tc>
          <w:tcPr>
            <w:tcW w:w="4307" w:type="dxa"/>
            <w:tcBorders>
              <w:top w:val="single" w:sz="4" w:space="0" w:color="000000"/>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D45E2A" w:rsidRDefault="00D45E2A">
            <w:pPr>
              <w:keepNext/>
              <w:adjustRightInd w:val="0"/>
              <w:spacing w:before="48" w:after="48" w:line="256" w:lineRule="auto"/>
              <w:jc w:val="center"/>
              <w:rPr>
                <w:rFonts w:ascii="Arial" w:hAnsi="Arial" w:cs="Arial"/>
                <w:b/>
                <w:bCs/>
                <w:color w:val="000000"/>
                <w:sz w:val="18"/>
                <w:szCs w:val="18"/>
              </w:rPr>
            </w:pPr>
            <w:bookmarkStart w:id="11" w:name="IDX10"/>
            <w:bookmarkEnd w:id="11"/>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D45E2A" w:rsidTr="00D45E2A">
        <w:trPr>
          <w:cantSplit/>
          <w:tblHeader/>
        </w:trPr>
        <w:tc>
          <w:tcPr>
            <w:tcW w:w="4307"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Type d'activité</w:t>
            </w: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Guyane</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D45E2A" w:rsidTr="00D45E2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2 330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D45E2A" w:rsidTr="00D45E2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D45E2A" w:rsidTr="00D45E2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D45E2A" w:rsidTr="00D45E2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D45E2A" w:rsidRDefault="00D45E2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bl>
    <w:p w:rsidR="000B4DBD" w:rsidRDefault="000B4DB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both"/>
              <w:rPr>
                <w:rFonts w:ascii="Arial" w:hAnsi="Arial" w:cs="Arial"/>
                <w:b/>
                <w:bCs/>
                <w:color w:val="000000"/>
              </w:rPr>
            </w:pPr>
            <w:r>
              <w:rPr>
                <w:rFonts w:ascii="Arial" w:hAnsi="Arial" w:cs="Arial"/>
                <w:b/>
                <w:bCs/>
                <w:color w:val="000000"/>
              </w:rPr>
              <w:t>Tableau DPN4. Nombre de femmes ayant réalisé un dépistage de la trisomie 21 par marqueurs sériques maternels dans un laboratoire de la région Guyane et en France en 2016</w:t>
            </w:r>
          </w:p>
        </w:tc>
      </w:tr>
    </w:tbl>
    <w:p w:rsidR="000B4DBD" w:rsidRDefault="000B4DBD">
      <w:pPr>
        <w:adjustRightInd w:val="0"/>
        <w:rPr>
          <w:rFonts w:ascii="Arial" w:hAnsi="Arial" w:cs="Arial"/>
          <w:color w:val="000000"/>
          <w:sz w:val="22"/>
          <w:szCs w:val="22"/>
        </w:rPr>
      </w:pPr>
    </w:p>
    <w:p w:rsidR="000B4DBD" w:rsidRDefault="000B4DBD">
      <w:pPr>
        <w:adjustRightInd w:val="0"/>
        <w:rPr>
          <w:rFonts w:ascii="Arial" w:hAnsi="Arial" w:cs="Arial"/>
          <w:color w:val="000000"/>
          <w:sz w:val="22"/>
          <w:szCs w:val="22"/>
        </w:rPr>
        <w:sectPr w:rsidR="000B4DBD">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79"/>
        <w:gridCol w:w="1583"/>
        <w:gridCol w:w="1599"/>
      </w:tblGrid>
      <w:tr w:rsidR="000B4DBD">
        <w:trPr>
          <w:cantSplit/>
          <w:tblHeader/>
        </w:trPr>
        <w:tc>
          <w:tcPr>
            <w:tcW w:w="297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Type de marqueurs sériques maternels</w:t>
            </w:r>
          </w:p>
        </w:tc>
        <w:tc>
          <w:tcPr>
            <w:tcW w:w="15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Guyane</w:t>
            </w:r>
          </w:p>
        </w:tc>
      </w:tr>
      <w:tr w:rsidR="000B4DBD">
        <w:trPr>
          <w:cantSplit/>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keepNext/>
              <w:adjustRightInd w:val="0"/>
              <w:spacing w:before="48" w:after="48"/>
              <w:jc w:val="right"/>
              <w:rPr>
                <w:rFonts w:ascii="Arial" w:hAnsi="Arial" w:cs="Arial"/>
                <w:color w:val="000000"/>
                <w:sz w:val="18"/>
                <w:szCs w:val="18"/>
              </w:rPr>
            </w:pPr>
            <w:r>
              <w:rPr>
                <w:rFonts w:ascii="Arial" w:hAnsi="Arial" w:cs="Arial"/>
                <w:color w:val="000000"/>
                <w:sz w:val="18"/>
                <w:szCs w:val="18"/>
              </w:rPr>
              <w:t>1 223</w:t>
            </w:r>
          </w:p>
        </w:tc>
      </w:tr>
      <w:tr w:rsidR="000B4DBD">
        <w:trPr>
          <w:cantSplit/>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4DBD" w:rsidRDefault="00CB054D">
            <w:pPr>
              <w:adjustRightInd w:val="0"/>
              <w:spacing w:before="48" w:after="48"/>
              <w:jc w:val="right"/>
              <w:rPr>
                <w:rFonts w:ascii="Arial" w:hAnsi="Arial" w:cs="Arial"/>
                <w:color w:val="000000"/>
                <w:sz w:val="18"/>
                <w:szCs w:val="18"/>
              </w:rPr>
            </w:pPr>
            <w:r>
              <w:rPr>
                <w:rFonts w:ascii="Arial" w:hAnsi="Arial" w:cs="Arial"/>
                <w:color w:val="000000"/>
                <w:sz w:val="18"/>
                <w:szCs w:val="18"/>
              </w:rPr>
              <w:t>1 107</w:t>
            </w:r>
          </w:p>
        </w:tc>
      </w:tr>
    </w:tbl>
    <w:p w:rsidR="000B4DBD" w:rsidRDefault="000B4DB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rsidP="00707056">
            <w:pPr>
              <w:adjustRightInd w:val="0"/>
              <w:jc w:val="both"/>
              <w:rPr>
                <w:rFonts w:ascii="Arial" w:hAnsi="Arial" w:cs="Arial"/>
                <w:b/>
                <w:bCs/>
                <w:color w:val="000000"/>
              </w:rPr>
            </w:pPr>
            <w:r>
              <w:rPr>
                <w:rFonts w:ascii="Arial" w:hAnsi="Arial" w:cs="Arial"/>
                <w:b/>
                <w:bCs/>
                <w:color w:val="000000"/>
              </w:rPr>
              <w:br/>
              <w:t>Aucun laboratoire de la région Guyane n'est autorisé pour une activité de diagnostic génétique postnatal.</w:t>
            </w:r>
            <w:r w:rsidR="00707056">
              <w:rPr>
                <w:rFonts w:ascii="Arial" w:hAnsi="Arial" w:cs="Arial"/>
                <w:b/>
                <w:bCs/>
                <w:color w:val="000000"/>
              </w:rPr>
              <w:t xml:space="preserve"> </w:t>
            </w:r>
            <w:r>
              <w:rPr>
                <w:rFonts w:ascii="Arial" w:hAnsi="Arial" w:cs="Arial"/>
                <w:b/>
                <w:bCs/>
                <w:color w:val="000000"/>
              </w:rPr>
              <w:t>Les tableaux GENPOST ne sont donc pas produits.</w:t>
            </w:r>
          </w:p>
        </w:tc>
      </w:tr>
    </w:tbl>
    <w:p w:rsidR="000B4DBD" w:rsidRDefault="000B4DBD"/>
    <w:sectPr w:rsidR="000B4DBD">
      <w:headerReference w:type="default" r:id="rId35"/>
      <w:footerReference w:type="default" r:id="rId36"/>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BD" w:rsidRDefault="00CB054D">
      <w:r>
        <w:separator/>
      </w:r>
    </w:p>
  </w:endnote>
  <w:endnote w:type="continuationSeparator" w:id="0">
    <w:p w:rsidR="000B4DBD" w:rsidRDefault="00C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B4DBD">
      <w:trPr>
        <w:cantSplit/>
        <w:jc w:val="center"/>
      </w:trPr>
      <w:tc>
        <w:tcPr>
          <w:tcW w:w="9071" w:type="dxa"/>
          <w:tcBorders>
            <w:top w:val="nil"/>
            <w:left w:val="nil"/>
            <w:bottom w:val="nil"/>
            <w:right w:val="nil"/>
          </w:tcBorders>
          <w:shd w:val="clear" w:color="auto" w:fill="FFFFFF"/>
        </w:tcPr>
        <w:p w:rsidR="000B4DBD" w:rsidRDefault="00CB054D">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07056">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07056">
            <w:rPr>
              <w:rFonts w:ascii="Arial" w:hAnsi="Arial" w:cs="Arial"/>
              <w:noProof/>
              <w:color w:val="000000"/>
              <w:sz w:val="16"/>
              <w:szCs w:val="16"/>
            </w:rPr>
            <w:t>10</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707056">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707056">
            <w:rPr>
              <w:rFonts w:ascii="Arial" w:hAnsi="Arial" w:cs="Arial"/>
              <w:noProof/>
              <w:color w:val="000000"/>
              <w:sz w:val="16"/>
              <w:szCs w:val="16"/>
            </w:rPr>
            <w:t>10</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CB054D">
          <w:pPr>
            <w:adjustRightInd w:val="0"/>
            <w:rPr>
              <w:rFonts w:ascii="Arial" w:hAnsi="Arial" w:cs="Arial"/>
              <w:color w:val="000000"/>
              <w:sz w:val="16"/>
              <w:szCs w:val="16"/>
            </w:rPr>
          </w:pPr>
          <w:r>
            <w:rPr>
              <w:rFonts w:ascii="Arial" w:hAnsi="Arial" w:cs="Arial"/>
              <w:color w:val="000000"/>
              <w:sz w:val="16"/>
              <w:szCs w:val="16"/>
            </w:rPr>
            <w:t>Guyane</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D18D0">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D18D0">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BD" w:rsidRDefault="00CB054D">
      <w:r>
        <w:separator/>
      </w:r>
    </w:p>
  </w:footnote>
  <w:footnote w:type="continuationSeparator" w:id="0">
    <w:p w:rsidR="000B4DBD" w:rsidRDefault="00CB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SOMMAIRE</w:t>
          </w:r>
        </w:p>
      </w:tc>
    </w:tr>
  </w:tbl>
  <w:p w:rsidR="000B4DBD" w:rsidRDefault="000B4DBD">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0B4DBD" w:rsidRDefault="000B4DBD">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Particularité de la région Guyane</w:t>
          </w:r>
        </w:p>
      </w:tc>
    </w:tr>
  </w:tbl>
  <w:p w:rsidR="000B4DBD" w:rsidRDefault="000B4DBD">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Particularité de la région Guyane</w:t>
          </w:r>
        </w:p>
      </w:tc>
    </w:tr>
  </w:tbl>
  <w:p w:rsidR="000B4DBD" w:rsidRDefault="000B4DBD">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B4DBD">
      <w:trPr>
        <w:cantSplit/>
        <w:jc w:val="center"/>
      </w:trPr>
      <w:tc>
        <w:tcPr>
          <w:tcW w:w="4535" w:type="dxa"/>
          <w:tcBorders>
            <w:top w:val="nil"/>
            <w:left w:val="nil"/>
            <w:bottom w:val="nil"/>
            <w:right w:val="nil"/>
          </w:tcBorders>
          <w:shd w:val="clear" w:color="auto" w:fill="FFFFFF"/>
        </w:tcPr>
        <w:p w:rsidR="000B4DBD" w:rsidRDefault="00777943">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CB054D">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B4DBD" w:rsidRDefault="00CB054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B4DBD" w:rsidRDefault="000B4DBD">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43"/>
    <w:rsid w:val="000B4DBD"/>
    <w:rsid w:val="001A7CFD"/>
    <w:rsid w:val="003D18D0"/>
    <w:rsid w:val="00411383"/>
    <w:rsid w:val="00481AAA"/>
    <w:rsid w:val="005307E9"/>
    <w:rsid w:val="005873D5"/>
    <w:rsid w:val="00707056"/>
    <w:rsid w:val="00775914"/>
    <w:rsid w:val="00777943"/>
    <w:rsid w:val="007B34D6"/>
    <w:rsid w:val="008D7778"/>
    <w:rsid w:val="009E09C5"/>
    <w:rsid w:val="00AF42EB"/>
    <w:rsid w:val="00BB08EF"/>
    <w:rsid w:val="00CB054D"/>
    <w:rsid w:val="00D45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40D016-F1C0-4E48-98C0-8D1EF8FF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1335">
      <w:bodyDiv w:val="1"/>
      <w:marLeft w:val="0"/>
      <w:marRight w:val="0"/>
      <w:marTop w:val="0"/>
      <w:marBottom w:val="0"/>
      <w:divBdr>
        <w:top w:val="none" w:sz="0" w:space="0" w:color="auto"/>
        <w:left w:val="none" w:sz="0" w:space="0" w:color="auto"/>
        <w:bottom w:val="none" w:sz="0" w:space="0" w:color="auto"/>
        <w:right w:val="none" w:sz="0" w:space="0" w:color="auto"/>
      </w:divBdr>
    </w:div>
    <w:div w:id="894242080">
      <w:bodyDiv w:val="1"/>
      <w:marLeft w:val="0"/>
      <w:marRight w:val="0"/>
      <w:marTop w:val="0"/>
      <w:marBottom w:val="0"/>
      <w:divBdr>
        <w:top w:val="none" w:sz="0" w:space="0" w:color="auto"/>
        <w:left w:val="none" w:sz="0" w:space="0" w:color="auto"/>
        <w:bottom w:val="none" w:sz="0" w:space="0" w:color="auto"/>
        <w:right w:val="none" w:sz="0" w:space="0" w:color="auto"/>
      </w:divBdr>
    </w:div>
    <w:div w:id="14874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chart" Target="charts/chart2.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690F-4929-B9F5-5BD070FEC622}"/>
              </c:ext>
            </c:extLst>
          </c:dPt>
          <c:dPt>
            <c:idx val="4"/>
            <c:invertIfNegative val="0"/>
            <c:bubble3D val="0"/>
            <c:spPr>
              <a:solidFill>
                <a:srgbClr val="00B0F0"/>
              </a:solidFill>
              <a:ln>
                <a:noFill/>
              </a:ln>
              <a:effectLst/>
            </c:spPr>
            <c:extLst>
              <c:ext xmlns:c16="http://schemas.microsoft.com/office/drawing/2014/chart" uri="{C3380CC4-5D6E-409C-BE32-E72D297353CC}">
                <c16:uniqueId val="{00000003-690F-4929-B9F5-5BD070FEC622}"/>
              </c:ext>
            </c:extLst>
          </c:dPt>
          <c:dPt>
            <c:idx val="5"/>
            <c:invertIfNegative val="0"/>
            <c:bubble3D val="0"/>
            <c:spPr>
              <a:solidFill>
                <a:srgbClr val="00B0F0"/>
              </a:solidFill>
              <a:ln>
                <a:noFill/>
              </a:ln>
              <a:effectLst/>
            </c:spPr>
            <c:extLst>
              <c:ext xmlns:c16="http://schemas.microsoft.com/office/drawing/2014/chart" uri="{C3380CC4-5D6E-409C-BE32-E72D297353CC}">
                <c16:uniqueId val="{00000005-690F-4929-B9F5-5BD070FEC622}"/>
              </c:ext>
            </c:extLst>
          </c:dPt>
          <c:dPt>
            <c:idx val="6"/>
            <c:invertIfNegative val="0"/>
            <c:bubble3D val="0"/>
            <c:spPr>
              <a:solidFill>
                <a:srgbClr val="00B0F0"/>
              </a:solidFill>
              <a:ln>
                <a:noFill/>
              </a:ln>
              <a:effectLst/>
            </c:spPr>
            <c:extLst>
              <c:ext xmlns:c16="http://schemas.microsoft.com/office/drawing/2014/chart" uri="{C3380CC4-5D6E-409C-BE32-E72D297353CC}">
                <c16:uniqueId val="{00000007-690F-4929-B9F5-5BD070FEC622}"/>
              </c:ext>
            </c:extLst>
          </c:dPt>
          <c:dPt>
            <c:idx val="7"/>
            <c:invertIfNegative val="0"/>
            <c:bubble3D val="0"/>
            <c:spPr>
              <a:solidFill>
                <a:srgbClr val="00B0F0"/>
              </a:solidFill>
              <a:ln>
                <a:noFill/>
              </a:ln>
              <a:effectLst/>
            </c:spPr>
            <c:extLst>
              <c:ext xmlns:c16="http://schemas.microsoft.com/office/drawing/2014/chart" uri="{C3380CC4-5D6E-409C-BE32-E72D297353CC}">
                <c16:uniqueId val="{00000009-690F-4929-B9F5-5BD070FEC622}"/>
              </c:ext>
            </c:extLst>
          </c:dPt>
          <c:dPt>
            <c:idx val="8"/>
            <c:invertIfNegative val="0"/>
            <c:bubble3D val="0"/>
            <c:spPr>
              <a:solidFill>
                <a:srgbClr val="00B0F0"/>
              </a:solidFill>
              <a:ln>
                <a:noFill/>
              </a:ln>
              <a:effectLst/>
            </c:spPr>
            <c:extLst>
              <c:ext xmlns:c16="http://schemas.microsoft.com/office/drawing/2014/chart" uri="{C3380CC4-5D6E-409C-BE32-E72D297353CC}">
                <c16:uniqueId val="{0000000B-690F-4929-B9F5-5BD070FEC622}"/>
              </c:ext>
            </c:extLst>
          </c:dPt>
          <c:dPt>
            <c:idx val="13"/>
            <c:invertIfNegative val="0"/>
            <c:bubble3D val="0"/>
            <c:spPr>
              <a:solidFill>
                <a:srgbClr val="00B0F0"/>
              </a:solidFill>
              <a:ln>
                <a:noFill/>
              </a:ln>
              <a:effectLst/>
            </c:spPr>
            <c:extLst>
              <c:ext xmlns:c16="http://schemas.microsoft.com/office/drawing/2014/chart" uri="{C3380CC4-5D6E-409C-BE32-E72D297353CC}">
                <c16:uniqueId val="{0000000D-690F-4929-B9F5-5BD070FEC62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690F-4929-B9F5-5BD070FEC622}"/>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690F-4929-B9F5-5BD070FEC622}"/>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DC87-4D4B-AB28-F64EF52A8445}"/>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DC87-4D4B-AB28-F64EF52A8445}"/>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DC87-4D4B-AB28-F64EF52A8445}"/>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DC87-4D4B-AB28-F64EF52A8445}"/>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DC87-4D4B-AB28-F64EF52A8445}"/>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DC87-4D4B-AB28-F64EF52A8445}"/>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DC87-4D4B-AB28-F64EF52A8445}"/>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DC87-4D4B-AB28-F64EF52A8445}"/>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DC87-4D4B-AB28-F64EF52A8445}"/>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DC87-4D4B-AB28-F64EF52A8445}"/>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DC87-4D4B-AB28-F64EF52A8445}"/>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DC87-4D4B-AB28-F64EF52A8445}"/>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DC87-4D4B-AB28-F64EF52A8445}"/>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DC87-4D4B-AB28-F64EF52A8445}"/>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DC87-4D4B-AB28-F64EF52A8445}"/>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DC87-4D4B-AB28-F64EF52A8445}"/>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DC87-4D4B-AB28-F64EF52A8445}"/>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DC87-4D4B-AB28-F64EF52A8445}"/>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12</Pages>
  <Words>3106</Words>
  <Characters>18011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17</cp:revision>
  <dcterms:created xsi:type="dcterms:W3CDTF">2019-02-06T14:46:00Z</dcterms:created>
  <dcterms:modified xsi:type="dcterms:W3CDTF">2019-09-05T15:02:00Z</dcterms:modified>
</cp:coreProperties>
</file>