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7C" w:rsidRDefault="00B2747C" w:rsidP="00B2747C">
      <w:pPr>
        <w:jc w:val="both"/>
        <w:rPr>
          <w:rFonts w:ascii="Arial" w:hAnsi="Arial" w:cs="Arial"/>
          <w:b/>
          <w:color w:val="0000FF"/>
          <w:sz w:val="28"/>
          <w:szCs w:val="28"/>
        </w:rPr>
      </w:pPr>
      <w:r>
        <w:object w:dxaOrig="3405"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3pt" o:ole="">
            <v:imagedata r:id="rId7" o:title=""/>
          </v:shape>
          <o:OLEObject Type="Embed" ProgID="MSPhotoEd.3" ShapeID="_x0000_i1025" DrawAspect="Content" ObjectID="_1550912460" r:id="rId8"/>
        </w:object>
      </w:r>
      <w:bookmarkStart w:id="0" w:name="_GoBack"/>
      <w:bookmarkEnd w:id="0"/>
    </w:p>
    <w:p w:rsidR="00B2747C" w:rsidRDefault="00B2747C" w:rsidP="005B3A6D">
      <w:pPr>
        <w:jc w:val="center"/>
        <w:rPr>
          <w:rFonts w:ascii="Arial" w:hAnsi="Arial" w:cs="Arial"/>
          <w:b/>
          <w:color w:val="0000FF"/>
          <w:sz w:val="28"/>
          <w:szCs w:val="28"/>
        </w:rPr>
      </w:pPr>
    </w:p>
    <w:p w:rsidR="00B2747C" w:rsidRDefault="00B2747C" w:rsidP="005B3A6D">
      <w:pPr>
        <w:jc w:val="center"/>
        <w:rPr>
          <w:rFonts w:ascii="Arial" w:hAnsi="Arial" w:cs="Arial"/>
          <w:b/>
          <w:color w:val="0000FF"/>
          <w:sz w:val="28"/>
          <w:szCs w:val="28"/>
        </w:rPr>
      </w:pPr>
    </w:p>
    <w:p w:rsidR="00B2747C" w:rsidRDefault="00B2747C" w:rsidP="005B3A6D">
      <w:pPr>
        <w:jc w:val="center"/>
        <w:rPr>
          <w:rFonts w:ascii="Arial" w:hAnsi="Arial" w:cs="Arial"/>
          <w:b/>
          <w:color w:val="0000FF"/>
          <w:sz w:val="28"/>
          <w:szCs w:val="28"/>
        </w:rPr>
      </w:pPr>
    </w:p>
    <w:p w:rsidR="00B2747C" w:rsidRDefault="00B2747C" w:rsidP="005B3A6D">
      <w:pPr>
        <w:jc w:val="center"/>
        <w:rPr>
          <w:rFonts w:ascii="Arial" w:hAnsi="Arial" w:cs="Arial"/>
          <w:b/>
          <w:color w:val="0000FF"/>
          <w:sz w:val="28"/>
          <w:szCs w:val="28"/>
        </w:rPr>
      </w:pPr>
    </w:p>
    <w:p w:rsidR="00B2747C" w:rsidRDefault="00B2747C" w:rsidP="005B3A6D">
      <w:pPr>
        <w:jc w:val="center"/>
        <w:rPr>
          <w:rFonts w:ascii="Arial" w:hAnsi="Arial" w:cs="Arial"/>
          <w:b/>
          <w:color w:val="0000FF"/>
          <w:sz w:val="28"/>
          <w:szCs w:val="28"/>
        </w:rPr>
      </w:pPr>
    </w:p>
    <w:p w:rsidR="00B2747C" w:rsidRDefault="00B2747C" w:rsidP="005B3A6D">
      <w:pPr>
        <w:jc w:val="center"/>
        <w:rPr>
          <w:rFonts w:ascii="Arial" w:hAnsi="Arial" w:cs="Arial"/>
          <w:b/>
          <w:color w:val="0000FF"/>
          <w:sz w:val="28"/>
          <w:szCs w:val="28"/>
        </w:rPr>
      </w:pPr>
    </w:p>
    <w:p w:rsidR="005B3A6D" w:rsidRPr="007819EE" w:rsidRDefault="005B3A6D" w:rsidP="005B3A6D">
      <w:pPr>
        <w:jc w:val="center"/>
        <w:rPr>
          <w:rFonts w:ascii="Arial" w:hAnsi="Arial" w:cs="Arial"/>
          <w:b/>
          <w:color w:val="0000FF"/>
          <w:sz w:val="28"/>
          <w:szCs w:val="28"/>
        </w:rPr>
      </w:pPr>
      <w:r w:rsidRPr="007819EE">
        <w:rPr>
          <w:rFonts w:ascii="Arial" w:hAnsi="Arial" w:cs="Arial"/>
          <w:b/>
          <w:color w:val="0000FF"/>
          <w:sz w:val="28"/>
          <w:szCs w:val="28"/>
        </w:rPr>
        <w:t>Régi</w:t>
      </w:r>
      <w:r>
        <w:rPr>
          <w:rFonts w:ascii="Arial" w:hAnsi="Arial" w:cs="Arial"/>
          <w:b/>
          <w:color w:val="0000FF"/>
          <w:sz w:val="28"/>
          <w:szCs w:val="28"/>
        </w:rPr>
        <w:t>on : Centre</w:t>
      </w:r>
    </w:p>
    <w:p w:rsidR="005B3A6D" w:rsidRPr="007819EE" w:rsidRDefault="005B3A6D" w:rsidP="005B3A6D">
      <w:pPr>
        <w:jc w:val="center"/>
        <w:rPr>
          <w:rFonts w:ascii="Arial" w:hAnsi="Arial" w:cs="Arial"/>
          <w:b/>
          <w:color w:val="0000FF"/>
          <w:sz w:val="28"/>
          <w:szCs w:val="28"/>
        </w:rPr>
      </w:pPr>
    </w:p>
    <w:p w:rsidR="005B3A6D" w:rsidRPr="007819EE" w:rsidRDefault="005B3A6D" w:rsidP="005B3A6D">
      <w:pPr>
        <w:jc w:val="center"/>
        <w:rPr>
          <w:rFonts w:ascii="Arial" w:hAnsi="Arial" w:cs="Arial"/>
          <w:b/>
          <w:color w:val="0000FF"/>
          <w:sz w:val="28"/>
          <w:szCs w:val="28"/>
        </w:rPr>
      </w:pPr>
      <w:r w:rsidRPr="007819EE">
        <w:rPr>
          <w:rFonts w:ascii="Arial" w:hAnsi="Arial" w:cs="Arial"/>
          <w:b/>
          <w:color w:val="0000FF"/>
          <w:sz w:val="28"/>
          <w:szCs w:val="28"/>
        </w:rPr>
        <w:t>SIOS</w:t>
      </w:r>
      <w:r>
        <w:rPr>
          <w:rFonts w:ascii="Arial" w:hAnsi="Arial" w:cs="Arial"/>
          <w:b/>
          <w:color w:val="0000FF"/>
          <w:sz w:val="28"/>
          <w:szCs w:val="28"/>
        </w:rPr>
        <w:t> : Ouest</w:t>
      </w:r>
    </w:p>
    <w:p w:rsidR="005B3A6D" w:rsidRPr="007819EE" w:rsidRDefault="005B3A6D" w:rsidP="005B3A6D">
      <w:pPr>
        <w:jc w:val="center"/>
        <w:rPr>
          <w:rFonts w:ascii="Arial" w:hAnsi="Arial" w:cs="Arial"/>
          <w:b/>
          <w:color w:val="0000FF"/>
          <w:sz w:val="28"/>
          <w:szCs w:val="28"/>
        </w:rPr>
      </w:pPr>
    </w:p>
    <w:p w:rsidR="005B3A6D" w:rsidRDefault="005B3A6D" w:rsidP="005B3A6D">
      <w:pPr>
        <w:rPr>
          <w:rFonts w:ascii="Arial" w:hAnsi="Arial" w:cs="Arial"/>
        </w:rPr>
      </w:pPr>
    </w:p>
    <w:p w:rsidR="005B3A6D" w:rsidRDefault="005B3A6D" w:rsidP="005B3A6D">
      <w:pPr>
        <w:rPr>
          <w:rFonts w:ascii="Arial" w:hAnsi="Arial" w:cs="Arial"/>
        </w:rPr>
      </w:pPr>
    </w:p>
    <w:p w:rsidR="005B3A6D" w:rsidRDefault="005B3A6D" w:rsidP="005B3A6D">
      <w:pPr>
        <w:jc w:val="center"/>
        <w:rPr>
          <w:rFonts w:ascii="Arial" w:hAnsi="Arial" w:cs="Arial"/>
        </w:rPr>
      </w:pPr>
    </w:p>
    <w:p w:rsidR="005B3A6D" w:rsidRDefault="00B94945" w:rsidP="00B94945">
      <w:pPr>
        <w:jc w:val="both"/>
        <w:rPr>
          <w:rFonts w:ascii="Arial" w:hAnsi="Arial" w:cs="Arial"/>
        </w:rPr>
      </w:pPr>
      <w:r>
        <w:rPr>
          <w:rFonts w:ascii="Arial" w:hAnsi="Arial" w:cs="Arial"/>
        </w:rPr>
        <w:t>Cette région ne comporte qu’un seul centre d’allogreffe de CSH, strictement réservé aux adultes et n’employant que des greffons apparentés. L’activité globale du centre est faible. Le taux brut de mortalité à 1 an ne peut être apprécié en raison du taux de suivis à 1 a</w:t>
      </w:r>
      <w:r w:rsidR="00D47C13">
        <w:rPr>
          <w:rFonts w:ascii="Arial" w:hAnsi="Arial" w:cs="Arial"/>
        </w:rPr>
        <w:t xml:space="preserve">n non saisis dans </w:t>
      </w:r>
      <w:proofErr w:type="spellStart"/>
      <w:r w:rsidR="00D47C13">
        <w:rPr>
          <w:rFonts w:ascii="Arial" w:hAnsi="Arial" w:cs="Arial"/>
        </w:rPr>
        <w:t>P</w:t>
      </w:r>
      <w:r w:rsidR="007C2593">
        <w:rPr>
          <w:rFonts w:ascii="Arial" w:hAnsi="Arial" w:cs="Arial"/>
        </w:rPr>
        <w:t>roMIS</w:t>
      </w:r>
      <w:r w:rsidR="005F7AE7">
        <w:rPr>
          <w:rFonts w:ascii="Arial" w:hAnsi="Arial" w:cs="Arial"/>
        </w:rPr>
        <w:t>e</w:t>
      </w:r>
      <w:proofErr w:type="spellEnd"/>
      <w:r w:rsidR="005F7AE7">
        <w:rPr>
          <w:rFonts w:ascii="Arial" w:hAnsi="Arial" w:cs="Arial"/>
        </w:rPr>
        <w:t xml:space="preserve"> (29,5%)</w:t>
      </w:r>
      <w:r>
        <w:rPr>
          <w:rFonts w:ascii="Arial" w:hAnsi="Arial" w:cs="Arial"/>
        </w:rPr>
        <w:t>.</w:t>
      </w:r>
    </w:p>
    <w:p w:rsidR="00B94945" w:rsidRDefault="00B94945" w:rsidP="00B94945">
      <w:pPr>
        <w:jc w:val="both"/>
        <w:rPr>
          <w:rFonts w:ascii="Arial" w:hAnsi="Arial" w:cs="Arial"/>
        </w:rPr>
      </w:pPr>
    </w:p>
    <w:p w:rsidR="00B94945" w:rsidRDefault="00B94945" w:rsidP="00B94945">
      <w:pPr>
        <w:jc w:val="both"/>
        <w:rPr>
          <w:rFonts w:ascii="Arial" w:hAnsi="Arial" w:cs="Arial"/>
        </w:rPr>
      </w:pPr>
      <w:r>
        <w:rPr>
          <w:rFonts w:ascii="Arial" w:hAnsi="Arial" w:cs="Arial"/>
        </w:rPr>
        <w:t>La faible activité du centre est à rapprocher des flux sortants très importants, en direction d’Angers et des centres parisiens. En 2015, 87% des patients domiciliés en région centre étaient greffés en dehors de la région.</w:t>
      </w:r>
    </w:p>
    <w:p w:rsidR="005B3A6D" w:rsidRDefault="005B3A6D" w:rsidP="005B3A6D">
      <w:pPr>
        <w:jc w:val="center"/>
        <w:rPr>
          <w:rFonts w:ascii="Arial" w:hAnsi="Arial" w:cs="Arial"/>
        </w:rPr>
      </w:pPr>
    </w:p>
    <w:p w:rsidR="005B3A6D" w:rsidRDefault="005B3A6D" w:rsidP="005B3A6D">
      <w:pPr>
        <w:jc w:val="center"/>
        <w:rPr>
          <w:rFonts w:ascii="Arial" w:hAnsi="Arial" w:cs="Arial"/>
        </w:rPr>
      </w:pPr>
    </w:p>
    <w:p w:rsidR="005B3A6D" w:rsidRDefault="005B3A6D" w:rsidP="005B3A6D">
      <w:pPr>
        <w:jc w:val="center"/>
        <w:rPr>
          <w:rFonts w:ascii="Arial" w:hAnsi="Arial" w:cs="Arial"/>
        </w:rPr>
      </w:pPr>
    </w:p>
    <w:p w:rsidR="005B3A6D" w:rsidRDefault="005B3A6D" w:rsidP="005B3A6D">
      <w:pPr>
        <w:jc w:val="center"/>
        <w:rPr>
          <w:rFonts w:ascii="Arial" w:hAnsi="Arial" w:cs="Arial"/>
        </w:rPr>
      </w:pPr>
    </w:p>
    <w:p w:rsidR="005B3A6D" w:rsidRPr="002161EA" w:rsidRDefault="005B3A6D" w:rsidP="005B3A6D">
      <w:pPr>
        <w:rPr>
          <w:rFonts w:ascii="Arial" w:hAnsi="Arial" w:cs="Arial"/>
          <w:sz w:val="12"/>
          <w:szCs w:val="12"/>
        </w:rPr>
      </w:pPr>
      <w:r>
        <w:br w:type="page"/>
      </w:r>
      <w:bookmarkStart w:id="1" w:name="IDX"/>
      <w:bookmarkEnd w:id="1"/>
    </w:p>
    <w:p w:rsidR="009631E9" w:rsidRDefault="005B3A6D" w:rsidP="005B3A6D">
      <w:pPr>
        <w:jc w:val="center"/>
      </w:pPr>
      <w:r w:rsidRPr="00E37489">
        <w:rPr>
          <w:rFonts w:ascii="Arial" w:hAnsi="Arial" w:cs="Arial"/>
          <w:b/>
          <w:bCs/>
          <w:color w:val="000000"/>
        </w:rPr>
        <w:lastRenderedPageBreak/>
        <w:t>Lieu de greffe des patients domiciliés dans la région (2)</w:t>
      </w:r>
    </w:p>
    <w:tbl>
      <w:tblPr>
        <w:tblW w:w="0" w:type="auto"/>
        <w:jc w:val="center"/>
        <w:tblLayout w:type="fixed"/>
        <w:tblCellMar>
          <w:left w:w="0" w:type="dxa"/>
          <w:right w:w="0" w:type="dxa"/>
        </w:tblCellMar>
        <w:tblLook w:val="0000" w:firstRow="0" w:lastRow="0" w:firstColumn="0" w:lastColumn="0" w:noHBand="0" w:noVBand="0"/>
      </w:tblPr>
      <w:tblGrid>
        <w:gridCol w:w="4481"/>
        <w:gridCol w:w="351"/>
        <w:gridCol w:w="465"/>
        <w:gridCol w:w="351"/>
        <w:gridCol w:w="465"/>
        <w:gridCol w:w="351"/>
        <w:gridCol w:w="465"/>
        <w:gridCol w:w="351"/>
        <w:gridCol w:w="465"/>
        <w:gridCol w:w="351"/>
        <w:gridCol w:w="465"/>
        <w:gridCol w:w="351"/>
        <w:gridCol w:w="465"/>
      </w:tblGrid>
      <w:tr w:rsidR="00E37489" w:rsidRPr="00E37489" w:rsidTr="00A14FDE">
        <w:trPr>
          <w:cantSplit/>
          <w:tblHeader/>
          <w:jc w:val="center"/>
        </w:trPr>
        <w:tc>
          <w:tcPr>
            <w:tcW w:w="9377" w:type="dxa"/>
            <w:gridSpan w:val="13"/>
            <w:tcBorders>
              <w:top w:val="nil"/>
              <w:left w:val="nil"/>
              <w:bottom w:val="single" w:sz="6"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rPr>
                <w:rFonts w:ascii="Arial" w:hAnsi="Arial" w:cs="Arial"/>
                <w:b/>
                <w:bCs/>
                <w:color w:val="000000"/>
              </w:rPr>
            </w:pPr>
          </w:p>
        </w:tc>
      </w:tr>
      <w:tr w:rsidR="00E37489" w:rsidRPr="00E37489" w:rsidTr="00A14FDE">
        <w:trPr>
          <w:cantSplit/>
          <w:tblHeader/>
          <w:jc w:val="center"/>
        </w:trPr>
        <w:tc>
          <w:tcPr>
            <w:tcW w:w="4481" w:type="dxa"/>
            <w:vMerge w:val="restart"/>
            <w:tcBorders>
              <w:top w:val="nil"/>
              <w:left w:val="single" w:sz="6" w:space="0" w:color="000000"/>
              <w:bottom w:val="single" w:sz="2" w:space="0" w:color="000000"/>
              <w:right w:val="nil"/>
            </w:tcBorders>
            <w:shd w:val="clear" w:color="auto" w:fill="FFFFFF"/>
            <w:tcMar>
              <w:left w:w="60" w:type="dxa"/>
              <w:right w:w="60" w:type="dxa"/>
            </w:tcMar>
            <w:vAlign w:val="center"/>
          </w:tcPr>
          <w:p w:rsidR="00E37489" w:rsidRPr="00E37489" w:rsidRDefault="00E37489" w:rsidP="00E37489">
            <w:pPr>
              <w:keepNext/>
              <w:adjustRightInd w:val="0"/>
              <w:spacing w:before="60" w:after="60"/>
              <w:jc w:val="center"/>
              <w:rPr>
                <w:rFonts w:ascii="Arial" w:hAnsi="Arial" w:cs="Arial"/>
                <w:b/>
                <w:bCs/>
                <w:color w:val="000000"/>
              </w:rPr>
            </w:pPr>
          </w:p>
        </w:tc>
        <w:tc>
          <w:tcPr>
            <w:tcW w:w="4896" w:type="dxa"/>
            <w:gridSpan w:val="12"/>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b/>
                <w:bCs/>
                <w:color w:val="000000"/>
              </w:rPr>
            </w:pPr>
            <w:r w:rsidRPr="00E37489">
              <w:rPr>
                <w:rFonts w:ascii="Arial" w:hAnsi="Arial" w:cs="Arial"/>
                <w:b/>
                <w:bCs/>
                <w:color w:val="000000"/>
              </w:rPr>
              <w:t>Année de greffe</w:t>
            </w:r>
          </w:p>
        </w:tc>
      </w:tr>
      <w:tr w:rsidR="00E37489" w:rsidRPr="00E37489" w:rsidTr="00A14FDE">
        <w:trPr>
          <w:cantSplit/>
          <w:tblHeader/>
          <w:jc w:val="center"/>
        </w:trPr>
        <w:tc>
          <w:tcPr>
            <w:tcW w:w="4481" w:type="dxa"/>
            <w:vMerge/>
            <w:tcBorders>
              <w:top w:val="nil"/>
              <w:left w:val="single" w:sz="6" w:space="0" w:color="000000"/>
              <w:bottom w:val="single" w:sz="2" w:space="0" w:color="000000"/>
              <w:right w:val="nil"/>
            </w:tcBorders>
            <w:shd w:val="clear" w:color="auto" w:fill="FFFFFF"/>
            <w:tcMar>
              <w:left w:w="60" w:type="dxa"/>
              <w:right w:w="60" w:type="dxa"/>
            </w:tcMar>
            <w:vAlign w:val="center"/>
          </w:tcPr>
          <w:p w:rsidR="00E37489" w:rsidRPr="00E37489" w:rsidRDefault="00E37489" w:rsidP="00E37489">
            <w:pPr>
              <w:keepNext/>
              <w:adjustRightInd w:val="0"/>
              <w:rPr>
                <w:sz w:val="24"/>
                <w:szCs w:val="24"/>
              </w:rPr>
            </w:pPr>
          </w:p>
        </w:tc>
        <w:tc>
          <w:tcPr>
            <w:tcW w:w="816" w:type="dxa"/>
            <w:gridSpan w:val="2"/>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2010</w:t>
            </w:r>
          </w:p>
        </w:tc>
        <w:tc>
          <w:tcPr>
            <w:tcW w:w="816" w:type="dxa"/>
            <w:gridSpan w:val="2"/>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2011</w:t>
            </w:r>
          </w:p>
        </w:tc>
        <w:tc>
          <w:tcPr>
            <w:tcW w:w="816" w:type="dxa"/>
            <w:gridSpan w:val="2"/>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2012</w:t>
            </w:r>
          </w:p>
        </w:tc>
        <w:tc>
          <w:tcPr>
            <w:tcW w:w="816" w:type="dxa"/>
            <w:gridSpan w:val="2"/>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2013</w:t>
            </w:r>
          </w:p>
        </w:tc>
        <w:tc>
          <w:tcPr>
            <w:tcW w:w="816" w:type="dxa"/>
            <w:gridSpan w:val="2"/>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2014</w:t>
            </w:r>
          </w:p>
        </w:tc>
        <w:tc>
          <w:tcPr>
            <w:tcW w:w="816" w:type="dxa"/>
            <w:gridSpan w:val="2"/>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2015</w:t>
            </w:r>
          </w:p>
        </w:tc>
      </w:tr>
      <w:tr w:rsidR="00E37489" w:rsidRPr="00E37489" w:rsidTr="00A14FDE">
        <w:trPr>
          <w:cantSplit/>
          <w:tblHeader/>
          <w:jc w:val="center"/>
        </w:trPr>
        <w:tc>
          <w:tcPr>
            <w:tcW w:w="4481" w:type="dxa"/>
            <w:vMerge/>
            <w:tcBorders>
              <w:top w:val="nil"/>
              <w:left w:val="single" w:sz="6" w:space="0" w:color="000000"/>
              <w:bottom w:val="single" w:sz="2" w:space="0" w:color="000000"/>
              <w:right w:val="nil"/>
            </w:tcBorders>
            <w:shd w:val="clear" w:color="auto" w:fill="FFFFFF"/>
            <w:tcMar>
              <w:left w:w="60" w:type="dxa"/>
              <w:right w:w="60" w:type="dxa"/>
            </w:tcMar>
            <w:vAlign w:val="center"/>
          </w:tcPr>
          <w:p w:rsidR="00E37489" w:rsidRPr="00E37489" w:rsidRDefault="00E37489" w:rsidP="00E37489">
            <w:pPr>
              <w:keepNext/>
              <w:adjustRightInd w:val="0"/>
              <w:rPr>
                <w:sz w:val="24"/>
                <w:szCs w:val="24"/>
              </w:rPr>
            </w:pP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46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w:t>
            </w:r>
          </w:p>
        </w:tc>
      </w:tr>
      <w:tr w:rsidR="00E37489" w:rsidRPr="00E37489" w:rsidTr="00A14FDE">
        <w:trPr>
          <w:cantSplit/>
          <w:jc w:val="center"/>
        </w:trPr>
        <w:tc>
          <w:tcPr>
            <w:tcW w:w="4481"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keepNext/>
              <w:adjustRightInd w:val="0"/>
              <w:spacing w:before="60" w:after="60"/>
              <w:rPr>
                <w:rFonts w:ascii="Arial" w:hAnsi="Arial" w:cs="Arial"/>
                <w:b/>
                <w:bCs/>
                <w:i/>
                <w:iCs/>
                <w:color w:val="000000"/>
              </w:rPr>
            </w:pPr>
            <w:r w:rsidRPr="00E37489">
              <w:rPr>
                <w:rFonts w:ascii="Arial" w:hAnsi="Arial" w:cs="Arial"/>
                <w:b/>
                <w:bCs/>
                <w:i/>
                <w:iCs/>
                <w:color w:val="000000"/>
              </w:rPr>
              <w:t>Parmi les patients domiciliés dans la région</w:t>
            </w:r>
          </w:p>
        </w:tc>
        <w:tc>
          <w:tcPr>
            <w:tcW w:w="35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14</w:t>
            </w:r>
          </w:p>
        </w:tc>
        <w:tc>
          <w:tcPr>
            <w:tcW w:w="46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25</w:t>
            </w:r>
          </w:p>
        </w:tc>
        <w:tc>
          <w:tcPr>
            <w:tcW w:w="35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14</w:t>
            </w:r>
          </w:p>
        </w:tc>
        <w:tc>
          <w:tcPr>
            <w:tcW w:w="46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22</w:t>
            </w:r>
          </w:p>
        </w:tc>
        <w:tc>
          <w:tcPr>
            <w:tcW w:w="35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14</w:t>
            </w:r>
          </w:p>
        </w:tc>
        <w:tc>
          <w:tcPr>
            <w:tcW w:w="46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21</w:t>
            </w:r>
          </w:p>
        </w:tc>
        <w:tc>
          <w:tcPr>
            <w:tcW w:w="35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16</w:t>
            </w:r>
          </w:p>
        </w:tc>
        <w:tc>
          <w:tcPr>
            <w:tcW w:w="46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23</w:t>
            </w:r>
          </w:p>
        </w:tc>
        <w:tc>
          <w:tcPr>
            <w:tcW w:w="35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11</w:t>
            </w:r>
          </w:p>
        </w:tc>
        <w:tc>
          <w:tcPr>
            <w:tcW w:w="46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19</w:t>
            </w:r>
          </w:p>
        </w:tc>
        <w:tc>
          <w:tcPr>
            <w:tcW w:w="35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9</w:t>
            </w:r>
          </w:p>
        </w:tc>
        <w:tc>
          <w:tcPr>
            <w:tcW w:w="46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13</w:t>
            </w:r>
          </w:p>
        </w:tc>
      </w:tr>
      <w:tr w:rsidR="00E37489" w:rsidRPr="00E37489" w:rsidTr="00A14FDE">
        <w:trPr>
          <w:cantSplit/>
          <w:jc w:val="center"/>
        </w:trPr>
        <w:tc>
          <w:tcPr>
            <w:tcW w:w="4481"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 patients greffés dans la région</w:t>
            </w:r>
          </w:p>
        </w:tc>
        <w:tc>
          <w:tcPr>
            <w:tcW w:w="351"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465"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351"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465"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351"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465"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351"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465"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351"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465"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351"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46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rPr>
                <w:sz w:val="24"/>
                <w:szCs w:val="24"/>
              </w:rPr>
            </w:pPr>
          </w:p>
        </w:tc>
      </w:tr>
      <w:tr w:rsidR="00E37489" w:rsidRPr="00E37489" w:rsidTr="00A14FDE">
        <w:trPr>
          <w:cantSplit/>
          <w:jc w:val="center"/>
        </w:trPr>
        <w:tc>
          <w:tcPr>
            <w:tcW w:w="4481"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 patients greffés hors région mais dans le SIOS</w:t>
            </w:r>
            <w:r w:rsidR="005B3A6D">
              <w:rPr>
                <w:rFonts w:ascii="Arial" w:hAnsi="Arial" w:cs="Arial"/>
                <w:color w:val="000000"/>
              </w:rPr>
              <w:t>*</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11</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19</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13</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20</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17</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25</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10</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14</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5</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9</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22</w:t>
            </w:r>
          </w:p>
        </w:tc>
        <w:tc>
          <w:tcPr>
            <w:tcW w:w="46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32</w:t>
            </w:r>
          </w:p>
        </w:tc>
      </w:tr>
      <w:tr w:rsidR="00E37489" w:rsidRPr="00E37489" w:rsidTr="00A14FDE">
        <w:trPr>
          <w:cantSplit/>
          <w:jc w:val="center"/>
        </w:trPr>
        <w:tc>
          <w:tcPr>
            <w:tcW w:w="4481"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keepNext/>
              <w:adjustRightInd w:val="0"/>
              <w:spacing w:before="60" w:after="60"/>
              <w:rPr>
                <w:rFonts w:ascii="Arial" w:hAnsi="Arial" w:cs="Arial"/>
                <w:color w:val="000000"/>
              </w:rPr>
            </w:pPr>
            <w:r w:rsidRPr="00E37489">
              <w:rPr>
                <w:rFonts w:ascii="Arial" w:hAnsi="Arial" w:cs="Arial"/>
                <w:color w:val="000000"/>
              </w:rPr>
              <w:t>- patients greffés hors SIOS</w:t>
            </w:r>
            <w:r w:rsidR="005B3A6D">
              <w:rPr>
                <w:rFonts w:ascii="Arial" w:hAnsi="Arial" w:cs="Arial"/>
                <w:color w:val="000000"/>
              </w:rPr>
              <w:t>*</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32</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56</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38</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58</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36</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54</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44</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63</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42</w:t>
            </w:r>
          </w:p>
        </w:tc>
        <w:tc>
          <w:tcPr>
            <w:tcW w:w="465"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72</w:t>
            </w:r>
          </w:p>
        </w:tc>
        <w:tc>
          <w:tcPr>
            <w:tcW w:w="351"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38</w:t>
            </w:r>
          </w:p>
        </w:tc>
        <w:tc>
          <w:tcPr>
            <w:tcW w:w="46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55</w:t>
            </w:r>
          </w:p>
        </w:tc>
      </w:tr>
      <w:tr w:rsidR="00E37489" w:rsidRPr="00E37489" w:rsidTr="00A14FDE">
        <w:trPr>
          <w:cantSplit/>
          <w:jc w:val="center"/>
        </w:trPr>
        <w:tc>
          <w:tcPr>
            <w:tcW w:w="4481" w:type="dxa"/>
            <w:tcBorders>
              <w:top w:val="nil"/>
              <w:left w:val="single" w:sz="6" w:space="0" w:color="000000"/>
              <w:bottom w:val="single" w:sz="6" w:space="0" w:color="000000"/>
              <w:right w:val="nil"/>
            </w:tcBorders>
            <w:shd w:val="clear" w:color="auto" w:fill="D3D3D3"/>
            <w:tcMar>
              <w:left w:w="60" w:type="dxa"/>
              <w:right w:w="60" w:type="dxa"/>
            </w:tcMar>
          </w:tcPr>
          <w:p w:rsidR="00E37489" w:rsidRPr="00E37489" w:rsidRDefault="00E37489" w:rsidP="00E37489">
            <w:pPr>
              <w:adjustRightInd w:val="0"/>
              <w:spacing w:before="60" w:after="60"/>
              <w:rPr>
                <w:rFonts w:ascii="Arial" w:hAnsi="Arial" w:cs="Arial"/>
                <w:b/>
                <w:bCs/>
                <w:color w:val="000000"/>
              </w:rPr>
            </w:pPr>
            <w:r w:rsidRPr="00E37489">
              <w:rPr>
                <w:rFonts w:ascii="Arial" w:hAnsi="Arial" w:cs="Arial"/>
                <w:b/>
                <w:bCs/>
                <w:color w:val="000000"/>
              </w:rPr>
              <w:t>Total</w:t>
            </w:r>
          </w:p>
        </w:tc>
        <w:tc>
          <w:tcPr>
            <w:tcW w:w="351"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57</w:t>
            </w:r>
          </w:p>
        </w:tc>
        <w:tc>
          <w:tcPr>
            <w:tcW w:w="465"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100</w:t>
            </w:r>
          </w:p>
        </w:tc>
        <w:tc>
          <w:tcPr>
            <w:tcW w:w="351"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65</w:t>
            </w:r>
          </w:p>
        </w:tc>
        <w:tc>
          <w:tcPr>
            <w:tcW w:w="465"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100</w:t>
            </w:r>
          </w:p>
        </w:tc>
        <w:tc>
          <w:tcPr>
            <w:tcW w:w="351"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67</w:t>
            </w:r>
          </w:p>
        </w:tc>
        <w:tc>
          <w:tcPr>
            <w:tcW w:w="465"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100</w:t>
            </w:r>
          </w:p>
        </w:tc>
        <w:tc>
          <w:tcPr>
            <w:tcW w:w="351"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70</w:t>
            </w:r>
          </w:p>
        </w:tc>
        <w:tc>
          <w:tcPr>
            <w:tcW w:w="465"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100</w:t>
            </w:r>
          </w:p>
        </w:tc>
        <w:tc>
          <w:tcPr>
            <w:tcW w:w="351"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58</w:t>
            </w:r>
          </w:p>
        </w:tc>
        <w:tc>
          <w:tcPr>
            <w:tcW w:w="465"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100</w:t>
            </w:r>
          </w:p>
        </w:tc>
        <w:tc>
          <w:tcPr>
            <w:tcW w:w="351"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69</w:t>
            </w:r>
          </w:p>
        </w:tc>
        <w:tc>
          <w:tcPr>
            <w:tcW w:w="465" w:type="dxa"/>
            <w:tcBorders>
              <w:top w:val="nil"/>
              <w:left w:val="single" w:sz="2" w:space="0" w:color="000000"/>
              <w:bottom w:val="single" w:sz="6" w:space="0" w:color="000000"/>
              <w:right w:val="single" w:sz="6" w:space="0" w:color="000000"/>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100</w:t>
            </w:r>
          </w:p>
        </w:tc>
      </w:tr>
    </w:tbl>
    <w:p w:rsidR="00E37489" w:rsidRDefault="00E37489" w:rsidP="007A28E1">
      <w:pPr>
        <w:jc w:val="center"/>
        <w:rPr>
          <w:rFonts w:ascii="Arial" w:hAnsi="Arial" w:cs="Arial"/>
          <w:b/>
        </w:rPr>
      </w:pPr>
    </w:p>
    <w:p w:rsidR="005437DC" w:rsidRDefault="005437DC" w:rsidP="005437DC">
      <w:pPr>
        <w:jc w:val="center"/>
        <w:rPr>
          <w:rFonts w:ascii="Arial" w:hAnsi="Arial" w:cs="Arial"/>
        </w:rPr>
      </w:pPr>
      <w:r>
        <w:rPr>
          <w:rFonts w:ascii="Arial" w:hAnsi="Arial" w:cs="Arial"/>
        </w:rPr>
        <w:t xml:space="preserve">* </w:t>
      </w:r>
      <w:r w:rsidRPr="006E5E0E">
        <w:rPr>
          <w:rFonts w:ascii="Arial" w:hAnsi="Arial" w:cs="Arial"/>
        </w:rPr>
        <w:t>Voir ci-après le lieu de greffe</w:t>
      </w:r>
    </w:p>
    <w:p w:rsidR="005437DC" w:rsidRPr="006E5E0E" w:rsidRDefault="005437DC" w:rsidP="005437DC">
      <w:pPr>
        <w:jc w:val="center"/>
        <w:rPr>
          <w:rFonts w:ascii="Arial" w:hAnsi="Arial" w:cs="Arial"/>
        </w:rPr>
      </w:pPr>
    </w:p>
    <w:p w:rsidR="00E37489" w:rsidRDefault="00E37489" w:rsidP="007A28E1">
      <w:pPr>
        <w:jc w:val="center"/>
        <w:rPr>
          <w:rFonts w:ascii="Arial" w:hAnsi="Arial" w:cs="Arial"/>
          <w:b/>
        </w:rPr>
      </w:pPr>
    </w:p>
    <w:tbl>
      <w:tblPr>
        <w:tblW w:w="0" w:type="auto"/>
        <w:jc w:val="center"/>
        <w:tblLayout w:type="fixed"/>
        <w:tblCellMar>
          <w:left w:w="0" w:type="dxa"/>
          <w:right w:w="0" w:type="dxa"/>
        </w:tblCellMar>
        <w:tblLook w:val="0000" w:firstRow="0" w:lastRow="0" w:firstColumn="0" w:lastColumn="0" w:noHBand="0" w:noVBand="0"/>
      </w:tblPr>
      <w:tblGrid>
        <w:gridCol w:w="3955"/>
        <w:gridCol w:w="578"/>
        <w:gridCol w:w="578"/>
        <w:gridCol w:w="578"/>
        <w:gridCol w:w="578"/>
        <w:gridCol w:w="578"/>
        <w:gridCol w:w="578"/>
      </w:tblGrid>
      <w:tr w:rsidR="00E37489" w:rsidRPr="00E37489" w:rsidTr="00A14FDE">
        <w:trPr>
          <w:cantSplit/>
          <w:tblHeader/>
          <w:jc w:val="center"/>
        </w:trPr>
        <w:tc>
          <w:tcPr>
            <w:tcW w:w="7423" w:type="dxa"/>
            <w:gridSpan w:val="7"/>
            <w:tcBorders>
              <w:top w:val="nil"/>
              <w:left w:val="nil"/>
              <w:bottom w:val="single" w:sz="6"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rPr>
                <w:rFonts w:ascii="Arial" w:hAnsi="Arial" w:cs="Arial"/>
                <w:b/>
                <w:bCs/>
                <w:color w:val="000000"/>
              </w:rPr>
            </w:pPr>
          </w:p>
        </w:tc>
      </w:tr>
      <w:tr w:rsidR="00E37489" w:rsidRPr="00E37489" w:rsidTr="00A14FDE">
        <w:trPr>
          <w:cantSplit/>
          <w:tblHeader/>
          <w:jc w:val="center"/>
        </w:trPr>
        <w:tc>
          <w:tcPr>
            <w:tcW w:w="3955" w:type="dxa"/>
            <w:vMerge w:val="restart"/>
            <w:tcBorders>
              <w:top w:val="nil"/>
              <w:left w:val="single" w:sz="6" w:space="0" w:color="000000"/>
              <w:bottom w:val="single" w:sz="2" w:space="0" w:color="000000"/>
              <w:right w:val="nil"/>
            </w:tcBorders>
            <w:shd w:val="clear" w:color="auto" w:fill="FFFFFF"/>
            <w:tcMar>
              <w:left w:w="60" w:type="dxa"/>
              <w:right w:w="60" w:type="dxa"/>
            </w:tcMar>
            <w:vAlign w:val="center"/>
          </w:tcPr>
          <w:p w:rsidR="00E37489" w:rsidRPr="00E37489" w:rsidRDefault="00E37489" w:rsidP="00E37489">
            <w:pPr>
              <w:keepNext/>
              <w:adjustRightInd w:val="0"/>
              <w:spacing w:before="60" w:after="60"/>
              <w:jc w:val="center"/>
              <w:rPr>
                <w:rFonts w:ascii="Arial" w:hAnsi="Arial" w:cs="Arial"/>
                <w:b/>
                <w:bCs/>
                <w:color w:val="000000"/>
              </w:rPr>
            </w:pPr>
            <w:r w:rsidRPr="00E37489">
              <w:rPr>
                <w:rFonts w:ascii="Arial" w:hAnsi="Arial" w:cs="Arial"/>
                <w:b/>
                <w:bCs/>
                <w:color w:val="000000"/>
              </w:rPr>
              <w:t xml:space="preserve">Lieu de greffe des patients greffés hors région mais dans le </w:t>
            </w:r>
            <w:proofErr w:type="spellStart"/>
            <w:r w:rsidRPr="00E37489">
              <w:rPr>
                <w:rFonts w:ascii="Arial" w:hAnsi="Arial" w:cs="Arial"/>
                <w:b/>
                <w:bCs/>
                <w:color w:val="000000"/>
              </w:rPr>
              <w:t>sios</w:t>
            </w:r>
            <w:proofErr w:type="spellEnd"/>
            <w:r w:rsidRPr="00E37489">
              <w:rPr>
                <w:rFonts w:ascii="Arial" w:hAnsi="Arial" w:cs="Arial"/>
                <w:b/>
                <w:bCs/>
                <w:color w:val="000000"/>
              </w:rPr>
              <w:t xml:space="preserve"> (2)</w:t>
            </w:r>
          </w:p>
        </w:tc>
        <w:tc>
          <w:tcPr>
            <w:tcW w:w="3468" w:type="dxa"/>
            <w:gridSpan w:val="6"/>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b/>
                <w:bCs/>
                <w:color w:val="000000"/>
              </w:rPr>
            </w:pPr>
            <w:r w:rsidRPr="00E37489">
              <w:rPr>
                <w:rFonts w:ascii="Arial" w:hAnsi="Arial" w:cs="Arial"/>
                <w:b/>
                <w:bCs/>
                <w:color w:val="000000"/>
              </w:rPr>
              <w:t>Année de greffe</w:t>
            </w:r>
          </w:p>
        </w:tc>
      </w:tr>
      <w:tr w:rsidR="00E37489" w:rsidRPr="00E37489" w:rsidTr="00A14FDE">
        <w:trPr>
          <w:cantSplit/>
          <w:tblHeader/>
          <w:jc w:val="center"/>
        </w:trPr>
        <w:tc>
          <w:tcPr>
            <w:tcW w:w="3955" w:type="dxa"/>
            <w:vMerge/>
            <w:tcBorders>
              <w:top w:val="nil"/>
              <w:left w:val="single" w:sz="6" w:space="0" w:color="000000"/>
              <w:bottom w:val="single" w:sz="2" w:space="0" w:color="000000"/>
              <w:right w:val="nil"/>
            </w:tcBorders>
            <w:shd w:val="clear" w:color="auto" w:fill="FFFFFF"/>
            <w:tcMar>
              <w:left w:w="60" w:type="dxa"/>
              <w:right w:w="60" w:type="dxa"/>
            </w:tcMar>
            <w:vAlign w:val="center"/>
          </w:tcPr>
          <w:p w:rsidR="00E37489" w:rsidRPr="00E37489" w:rsidRDefault="00E37489" w:rsidP="00E37489">
            <w:pPr>
              <w:keepNext/>
              <w:adjustRightInd w:val="0"/>
              <w:rPr>
                <w:sz w:val="24"/>
                <w:szCs w:val="24"/>
              </w:rPr>
            </w:pP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2012</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2013</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2014</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2015</w:t>
            </w:r>
          </w:p>
        </w:tc>
      </w:tr>
      <w:tr w:rsidR="00E37489" w:rsidRPr="00E37489" w:rsidTr="00A14FDE">
        <w:trPr>
          <w:cantSplit/>
          <w:tblHeader/>
          <w:jc w:val="center"/>
        </w:trPr>
        <w:tc>
          <w:tcPr>
            <w:tcW w:w="3955" w:type="dxa"/>
            <w:vMerge/>
            <w:tcBorders>
              <w:top w:val="nil"/>
              <w:left w:val="single" w:sz="6" w:space="0" w:color="000000"/>
              <w:bottom w:val="single" w:sz="2" w:space="0" w:color="000000"/>
              <w:right w:val="nil"/>
            </w:tcBorders>
            <w:shd w:val="clear" w:color="auto" w:fill="FFFFFF"/>
            <w:tcMar>
              <w:left w:w="60" w:type="dxa"/>
              <w:right w:w="60" w:type="dxa"/>
            </w:tcMar>
            <w:vAlign w:val="center"/>
          </w:tcPr>
          <w:p w:rsidR="00E37489" w:rsidRPr="00E37489" w:rsidRDefault="00E37489" w:rsidP="00E37489">
            <w:pPr>
              <w:keepNext/>
              <w:adjustRightInd w:val="0"/>
              <w:rPr>
                <w:sz w:val="24"/>
                <w:szCs w:val="24"/>
              </w:rPr>
            </w:pP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r>
      <w:tr w:rsidR="00E37489" w:rsidRPr="00E37489" w:rsidTr="00A14FDE">
        <w:trPr>
          <w:cantSplit/>
          <w:jc w:val="center"/>
        </w:trPr>
        <w:tc>
          <w:tcPr>
            <w:tcW w:w="3955"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keepNext/>
              <w:adjustRightInd w:val="0"/>
              <w:spacing w:before="60" w:after="60"/>
              <w:rPr>
                <w:rFonts w:ascii="Arial" w:hAnsi="Arial" w:cs="Arial"/>
                <w:b/>
                <w:bCs/>
                <w:i/>
                <w:iCs/>
                <w:color w:val="000000"/>
              </w:rPr>
            </w:pPr>
            <w:r w:rsidRPr="00E37489">
              <w:rPr>
                <w:rFonts w:ascii="Arial" w:hAnsi="Arial" w:cs="Arial"/>
                <w:b/>
                <w:bCs/>
                <w:i/>
                <w:iCs/>
                <w:color w:val="000000"/>
              </w:rPr>
              <w:t>centre de greffe</w:t>
            </w:r>
          </w:p>
        </w:tc>
        <w:tc>
          <w:tcPr>
            <w:tcW w:w="57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4</w:t>
            </w:r>
          </w:p>
        </w:tc>
        <w:tc>
          <w:tcPr>
            <w:tcW w:w="57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2</w:t>
            </w:r>
          </w:p>
        </w:tc>
        <w:tc>
          <w:tcPr>
            <w:tcW w:w="57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2</w:t>
            </w:r>
          </w:p>
        </w:tc>
        <w:tc>
          <w:tcPr>
            <w:tcW w:w="57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2</w:t>
            </w:r>
          </w:p>
        </w:tc>
        <w:tc>
          <w:tcPr>
            <w:tcW w:w="57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0</w:t>
            </w:r>
          </w:p>
        </w:tc>
        <w:tc>
          <w:tcPr>
            <w:tcW w:w="578"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2</w:t>
            </w:r>
          </w:p>
        </w:tc>
      </w:tr>
      <w:tr w:rsidR="00E37489" w:rsidRPr="00E37489" w:rsidTr="00A14FDE">
        <w:trPr>
          <w:cantSplit/>
          <w:jc w:val="center"/>
        </w:trPr>
        <w:tc>
          <w:tcPr>
            <w:tcW w:w="3955"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Nantes Hôtel Dieu</w:t>
            </w:r>
          </w:p>
        </w:tc>
        <w:tc>
          <w:tcPr>
            <w:tcW w:w="578"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578"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578"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578"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578"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578"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rPr>
                <w:sz w:val="24"/>
                <w:szCs w:val="24"/>
              </w:rPr>
            </w:pPr>
          </w:p>
        </w:tc>
      </w:tr>
      <w:tr w:rsidR="00E37489" w:rsidRPr="00E37489" w:rsidTr="00A14FDE">
        <w:trPr>
          <w:cantSplit/>
          <w:jc w:val="center"/>
        </w:trPr>
        <w:tc>
          <w:tcPr>
            <w:tcW w:w="3955"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Poitiers Hôpital Jean Bernard</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3</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5</w:t>
            </w:r>
          </w:p>
        </w:tc>
      </w:tr>
      <w:tr w:rsidR="00E37489" w:rsidRPr="00E37489" w:rsidTr="00A14FDE">
        <w:trPr>
          <w:cantSplit/>
          <w:jc w:val="center"/>
        </w:trPr>
        <w:tc>
          <w:tcPr>
            <w:tcW w:w="3955"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Angers Chu service des maladies du sang</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6</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8</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14</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7</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4</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14</w:t>
            </w:r>
          </w:p>
        </w:tc>
      </w:tr>
      <w:tr w:rsidR="00E37489" w:rsidRPr="00E37489" w:rsidTr="00A14FDE">
        <w:trPr>
          <w:cantSplit/>
          <w:jc w:val="center"/>
        </w:trPr>
        <w:tc>
          <w:tcPr>
            <w:tcW w:w="3955"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keepNext/>
              <w:adjustRightInd w:val="0"/>
              <w:spacing w:before="60" w:after="60"/>
              <w:rPr>
                <w:rFonts w:ascii="Arial" w:hAnsi="Arial" w:cs="Arial"/>
                <w:color w:val="000000"/>
              </w:rPr>
            </w:pPr>
            <w:r w:rsidRPr="00E37489">
              <w:rPr>
                <w:rFonts w:ascii="Arial" w:hAnsi="Arial" w:cs="Arial"/>
                <w:color w:val="000000"/>
              </w:rPr>
              <w:t>Rennes CHU</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w:t>
            </w:r>
          </w:p>
        </w:tc>
      </w:tr>
      <w:tr w:rsidR="00E37489" w:rsidRPr="00E37489" w:rsidTr="00A14FDE">
        <w:trPr>
          <w:cantSplit/>
          <w:jc w:val="center"/>
        </w:trPr>
        <w:tc>
          <w:tcPr>
            <w:tcW w:w="3955" w:type="dxa"/>
            <w:tcBorders>
              <w:top w:val="nil"/>
              <w:left w:val="single" w:sz="6" w:space="0" w:color="000000"/>
              <w:bottom w:val="single" w:sz="6" w:space="0" w:color="000000"/>
              <w:right w:val="nil"/>
            </w:tcBorders>
            <w:shd w:val="clear" w:color="auto" w:fill="D3D3D3"/>
            <w:tcMar>
              <w:left w:w="60" w:type="dxa"/>
              <w:right w:w="60" w:type="dxa"/>
            </w:tcMar>
          </w:tcPr>
          <w:p w:rsidR="00E37489" w:rsidRPr="00E37489" w:rsidRDefault="00E37489" w:rsidP="00E37489">
            <w:pPr>
              <w:adjustRightInd w:val="0"/>
              <w:spacing w:before="60" w:after="60"/>
              <w:rPr>
                <w:rFonts w:ascii="Arial" w:hAnsi="Arial" w:cs="Arial"/>
                <w:b/>
                <w:bCs/>
                <w:color w:val="000000"/>
              </w:rPr>
            </w:pPr>
            <w:r w:rsidRPr="00E37489">
              <w:rPr>
                <w:rFonts w:ascii="Arial" w:hAnsi="Arial" w:cs="Arial"/>
                <w:b/>
                <w:bCs/>
                <w:color w:val="000000"/>
              </w:rPr>
              <w:t>Total</w:t>
            </w:r>
          </w:p>
        </w:tc>
        <w:tc>
          <w:tcPr>
            <w:tcW w:w="578"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11</w:t>
            </w:r>
          </w:p>
        </w:tc>
        <w:tc>
          <w:tcPr>
            <w:tcW w:w="578"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13</w:t>
            </w:r>
          </w:p>
        </w:tc>
        <w:tc>
          <w:tcPr>
            <w:tcW w:w="578"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17</w:t>
            </w:r>
          </w:p>
        </w:tc>
        <w:tc>
          <w:tcPr>
            <w:tcW w:w="578"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10</w:t>
            </w:r>
          </w:p>
        </w:tc>
        <w:tc>
          <w:tcPr>
            <w:tcW w:w="578"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5</w:t>
            </w:r>
          </w:p>
        </w:tc>
        <w:tc>
          <w:tcPr>
            <w:tcW w:w="578" w:type="dxa"/>
            <w:tcBorders>
              <w:top w:val="nil"/>
              <w:left w:val="single" w:sz="2" w:space="0" w:color="000000"/>
              <w:bottom w:val="single" w:sz="6" w:space="0" w:color="000000"/>
              <w:right w:val="single" w:sz="6" w:space="0" w:color="000000"/>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22</w:t>
            </w:r>
          </w:p>
        </w:tc>
      </w:tr>
    </w:tbl>
    <w:p w:rsidR="00E37489" w:rsidRDefault="00E37489" w:rsidP="007A28E1">
      <w:pPr>
        <w:jc w:val="center"/>
        <w:rPr>
          <w:rFonts w:ascii="Arial" w:hAnsi="Arial" w:cs="Arial"/>
          <w:b/>
        </w:rPr>
      </w:pPr>
    </w:p>
    <w:p w:rsidR="005437DC" w:rsidRDefault="005437DC">
      <w:pPr>
        <w:autoSpaceDE/>
        <w:autoSpaceDN/>
        <w:spacing w:after="200" w:line="276" w:lineRule="auto"/>
        <w:rPr>
          <w:rFonts w:ascii="Arial" w:hAnsi="Arial" w:cs="Arial"/>
          <w:b/>
        </w:rPr>
      </w:pPr>
      <w:r>
        <w:rPr>
          <w:rFonts w:ascii="Arial" w:hAnsi="Arial" w:cs="Arial"/>
          <w:b/>
        </w:rPr>
        <w:br w:type="page"/>
      </w:r>
    </w:p>
    <w:p w:rsidR="00E37489" w:rsidRDefault="00E37489" w:rsidP="007A28E1">
      <w:pPr>
        <w:jc w:val="center"/>
        <w:rPr>
          <w:rFonts w:ascii="Arial" w:hAnsi="Arial" w:cs="Arial"/>
          <w:b/>
        </w:rPr>
      </w:pPr>
    </w:p>
    <w:tbl>
      <w:tblPr>
        <w:tblW w:w="0" w:type="auto"/>
        <w:jc w:val="center"/>
        <w:tblLayout w:type="fixed"/>
        <w:tblCellMar>
          <w:left w:w="0" w:type="dxa"/>
          <w:right w:w="0" w:type="dxa"/>
        </w:tblCellMar>
        <w:tblLook w:val="0000" w:firstRow="0" w:lastRow="0" w:firstColumn="0" w:lastColumn="0" w:noHBand="0" w:noVBand="0"/>
      </w:tblPr>
      <w:tblGrid>
        <w:gridCol w:w="5090"/>
        <w:gridCol w:w="578"/>
        <w:gridCol w:w="578"/>
        <w:gridCol w:w="578"/>
        <w:gridCol w:w="578"/>
        <w:gridCol w:w="578"/>
        <w:gridCol w:w="578"/>
      </w:tblGrid>
      <w:tr w:rsidR="00E37489" w:rsidRPr="00E37489" w:rsidTr="00A14FDE">
        <w:trPr>
          <w:cantSplit/>
          <w:tblHeader/>
          <w:jc w:val="center"/>
        </w:trPr>
        <w:tc>
          <w:tcPr>
            <w:tcW w:w="8558" w:type="dxa"/>
            <w:gridSpan w:val="7"/>
            <w:tcBorders>
              <w:top w:val="nil"/>
              <w:left w:val="nil"/>
              <w:bottom w:val="single" w:sz="6"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rPr>
                <w:rFonts w:ascii="Arial" w:hAnsi="Arial" w:cs="Arial"/>
                <w:b/>
                <w:bCs/>
                <w:color w:val="000000"/>
              </w:rPr>
            </w:pPr>
          </w:p>
        </w:tc>
      </w:tr>
      <w:tr w:rsidR="00E37489" w:rsidRPr="00E37489" w:rsidTr="00A14FDE">
        <w:trPr>
          <w:cantSplit/>
          <w:tblHeader/>
          <w:jc w:val="center"/>
        </w:trPr>
        <w:tc>
          <w:tcPr>
            <w:tcW w:w="5090" w:type="dxa"/>
            <w:vMerge w:val="restart"/>
            <w:tcBorders>
              <w:top w:val="nil"/>
              <w:left w:val="single" w:sz="6" w:space="0" w:color="000000"/>
              <w:bottom w:val="single" w:sz="2" w:space="0" w:color="000000"/>
              <w:right w:val="nil"/>
            </w:tcBorders>
            <w:shd w:val="clear" w:color="auto" w:fill="FFFFFF"/>
            <w:tcMar>
              <w:left w:w="60" w:type="dxa"/>
              <w:right w:w="60" w:type="dxa"/>
            </w:tcMar>
            <w:vAlign w:val="center"/>
          </w:tcPr>
          <w:p w:rsidR="00E37489" w:rsidRPr="00E37489" w:rsidRDefault="00E37489" w:rsidP="00E37489">
            <w:pPr>
              <w:keepNext/>
              <w:adjustRightInd w:val="0"/>
              <w:spacing w:before="60" w:after="60"/>
              <w:jc w:val="center"/>
              <w:rPr>
                <w:rFonts w:ascii="Arial" w:hAnsi="Arial" w:cs="Arial"/>
                <w:b/>
                <w:bCs/>
                <w:color w:val="000000"/>
              </w:rPr>
            </w:pPr>
            <w:r w:rsidRPr="00E37489">
              <w:rPr>
                <w:rFonts w:ascii="Arial" w:hAnsi="Arial" w:cs="Arial"/>
                <w:b/>
                <w:bCs/>
                <w:color w:val="000000"/>
              </w:rPr>
              <w:t xml:space="preserve">Lieu de greffe des patients greffés hors région et hors </w:t>
            </w:r>
            <w:proofErr w:type="spellStart"/>
            <w:r w:rsidRPr="00E37489">
              <w:rPr>
                <w:rFonts w:ascii="Arial" w:hAnsi="Arial" w:cs="Arial"/>
                <w:b/>
                <w:bCs/>
                <w:color w:val="000000"/>
              </w:rPr>
              <w:t>sios</w:t>
            </w:r>
            <w:proofErr w:type="spellEnd"/>
            <w:r w:rsidRPr="00E37489">
              <w:rPr>
                <w:rFonts w:ascii="Arial" w:hAnsi="Arial" w:cs="Arial"/>
                <w:b/>
                <w:bCs/>
                <w:color w:val="000000"/>
              </w:rPr>
              <w:t xml:space="preserve"> (2)</w:t>
            </w:r>
          </w:p>
        </w:tc>
        <w:tc>
          <w:tcPr>
            <w:tcW w:w="3468" w:type="dxa"/>
            <w:gridSpan w:val="6"/>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b/>
                <w:bCs/>
                <w:color w:val="000000"/>
              </w:rPr>
            </w:pPr>
            <w:r w:rsidRPr="00E37489">
              <w:rPr>
                <w:rFonts w:ascii="Arial" w:hAnsi="Arial" w:cs="Arial"/>
                <w:b/>
                <w:bCs/>
                <w:color w:val="000000"/>
              </w:rPr>
              <w:t>Année de greffe</w:t>
            </w:r>
          </w:p>
        </w:tc>
      </w:tr>
      <w:tr w:rsidR="00E37489" w:rsidRPr="00E37489" w:rsidTr="00A14FDE">
        <w:trPr>
          <w:cantSplit/>
          <w:tblHeader/>
          <w:jc w:val="center"/>
        </w:trPr>
        <w:tc>
          <w:tcPr>
            <w:tcW w:w="5090" w:type="dxa"/>
            <w:vMerge/>
            <w:tcBorders>
              <w:top w:val="nil"/>
              <w:left w:val="single" w:sz="6" w:space="0" w:color="000000"/>
              <w:bottom w:val="single" w:sz="2" w:space="0" w:color="000000"/>
              <w:right w:val="nil"/>
            </w:tcBorders>
            <w:shd w:val="clear" w:color="auto" w:fill="FFFFFF"/>
            <w:tcMar>
              <w:left w:w="60" w:type="dxa"/>
              <w:right w:w="60" w:type="dxa"/>
            </w:tcMar>
            <w:vAlign w:val="center"/>
          </w:tcPr>
          <w:p w:rsidR="00E37489" w:rsidRPr="00E37489" w:rsidRDefault="00E37489" w:rsidP="00E37489">
            <w:pPr>
              <w:keepNext/>
              <w:adjustRightInd w:val="0"/>
              <w:rPr>
                <w:sz w:val="24"/>
                <w:szCs w:val="24"/>
              </w:rPr>
            </w:pP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2012</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2013</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2014</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2015</w:t>
            </w:r>
          </w:p>
        </w:tc>
      </w:tr>
      <w:tr w:rsidR="00E37489" w:rsidRPr="00E37489" w:rsidTr="00A14FDE">
        <w:trPr>
          <w:cantSplit/>
          <w:tblHeader/>
          <w:jc w:val="center"/>
        </w:trPr>
        <w:tc>
          <w:tcPr>
            <w:tcW w:w="5090" w:type="dxa"/>
            <w:vMerge/>
            <w:tcBorders>
              <w:top w:val="nil"/>
              <w:left w:val="single" w:sz="6" w:space="0" w:color="000000"/>
              <w:bottom w:val="single" w:sz="2" w:space="0" w:color="000000"/>
              <w:right w:val="nil"/>
            </w:tcBorders>
            <w:shd w:val="clear" w:color="auto" w:fill="FFFFFF"/>
            <w:tcMar>
              <w:left w:w="60" w:type="dxa"/>
              <w:right w:w="60" w:type="dxa"/>
            </w:tcMar>
            <w:vAlign w:val="center"/>
          </w:tcPr>
          <w:p w:rsidR="00E37489" w:rsidRPr="00E37489" w:rsidRDefault="00E37489" w:rsidP="00E37489">
            <w:pPr>
              <w:keepNext/>
              <w:adjustRightInd w:val="0"/>
              <w:rPr>
                <w:sz w:val="24"/>
                <w:szCs w:val="24"/>
              </w:rPr>
            </w:pP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center"/>
              <w:rPr>
                <w:rFonts w:ascii="Arial" w:hAnsi="Arial" w:cs="Arial"/>
                <w:color w:val="000000"/>
              </w:rPr>
            </w:pPr>
            <w:r w:rsidRPr="00E37489">
              <w:rPr>
                <w:rFonts w:ascii="Arial" w:hAnsi="Arial" w:cs="Arial"/>
                <w:color w:val="000000"/>
              </w:rPr>
              <w:t>N</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keepNext/>
              <w:adjustRightInd w:val="0"/>
              <w:spacing w:before="60" w:after="60"/>
              <w:rPr>
                <w:rFonts w:ascii="Arial" w:hAnsi="Arial" w:cs="Arial"/>
                <w:b/>
                <w:bCs/>
                <w:i/>
                <w:iCs/>
                <w:color w:val="000000"/>
              </w:rPr>
            </w:pPr>
            <w:r w:rsidRPr="00E37489">
              <w:rPr>
                <w:rFonts w:ascii="Arial" w:hAnsi="Arial" w:cs="Arial"/>
                <w:b/>
                <w:bCs/>
                <w:i/>
                <w:iCs/>
                <w:color w:val="000000"/>
              </w:rPr>
              <w:t>centre de greffe</w:t>
            </w:r>
          </w:p>
        </w:tc>
        <w:tc>
          <w:tcPr>
            <w:tcW w:w="57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w:t>
            </w:r>
          </w:p>
        </w:tc>
        <w:tc>
          <w:tcPr>
            <w:tcW w:w="57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3</w:t>
            </w:r>
          </w:p>
        </w:tc>
        <w:tc>
          <w:tcPr>
            <w:tcW w:w="57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4</w:t>
            </w:r>
          </w:p>
        </w:tc>
        <w:tc>
          <w:tcPr>
            <w:tcW w:w="57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w:t>
            </w:r>
          </w:p>
        </w:tc>
        <w:tc>
          <w:tcPr>
            <w:tcW w:w="57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w:t>
            </w:r>
          </w:p>
        </w:tc>
        <w:tc>
          <w:tcPr>
            <w:tcW w:w="578"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Paris Necker Hématologie Adultes</w:t>
            </w:r>
          </w:p>
        </w:tc>
        <w:tc>
          <w:tcPr>
            <w:tcW w:w="578"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578"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578"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578"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578" w:type="dxa"/>
            <w:vMerge/>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rPr>
                <w:sz w:val="24"/>
                <w:szCs w:val="24"/>
              </w:rPr>
            </w:pPr>
          </w:p>
        </w:tc>
        <w:tc>
          <w:tcPr>
            <w:tcW w:w="578"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rPr>
                <w:sz w:val="24"/>
                <w:szCs w:val="24"/>
              </w:rPr>
            </w:pP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Paris Necker Unité d'Hémato-Immunologie pédiatrique</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Paris Hôpital Saint-Louis Hématologie greffe de moelle</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7</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6</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4</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14</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9</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9</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5437DC" w:rsidP="00E37489">
            <w:pPr>
              <w:adjustRightInd w:val="0"/>
              <w:spacing w:before="60" w:after="60"/>
              <w:rPr>
                <w:rFonts w:ascii="Arial" w:hAnsi="Arial" w:cs="Arial"/>
                <w:color w:val="000000"/>
              </w:rPr>
            </w:pPr>
            <w:r>
              <w:rPr>
                <w:rFonts w:ascii="Arial" w:hAnsi="Arial" w:cs="Arial"/>
                <w:color w:val="000000"/>
              </w:rPr>
              <w:t>Paris Hôpital de l’Hôtel Dieu</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 xml:space="preserve">Besançon Hôpital Jean </w:t>
            </w:r>
            <w:proofErr w:type="spellStart"/>
            <w:r w:rsidRPr="00E37489">
              <w:rPr>
                <w:rFonts w:ascii="Arial" w:hAnsi="Arial" w:cs="Arial"/>
                <w:color w:val="000000"/>
              </w:rPr>
              <w:t>Minjoz</w:t>
            </w:r>
            <w:proofErr w:type="spellEnd"/>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Créteil Hôpital Henri Mondor</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3</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Paris La Pitié Salpetrière</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8</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Clermont-Ferrand</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Paris Hôpital Robert Debré</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3</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3</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4</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4</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Clamart Hôpital d'Instruction des Armées</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Villejuif Institut Gustave Roussy</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14</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16</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14</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8</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16</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17</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Lyon Hôpital Edouard Herriot</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Paris Hôpital Saint-Antoine</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3</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Rouen Hôpital Charles Nicolle</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adjustRightInd w:val="0"/>
              <w:spacing w:before="60" w:after="60"/>
              <w:rPr>
                <w:rFonts w:ascii="Arial" w:hAnsi="Arial" w:cs="Arial"/>
                <w:color w:val="000000"/>
              </w:rPr>
            </w:pPr>
            <w:r w:rsidRPr="00E37489">
              <w:rPr>
                <w:rFonts w:ascii="Arial" w:hAnsi="Arial" w:cs="Arial"/>
                <w:color w:val="000000"/>
              </w:rPr>
              <w:t xml:space="preserve">Limoges Centre Hospitalier </w:t>
            </w:r>
            <w:proofErr w:type="spellStart"/>
            <w:r w:rsidRPr="00E37489">
              <w:rPr>
                <w:rFonts w:ascii="Arial" w:hAnsi="Arial" w:cs="Arial"/>
                <w:color w:val="000000"/>
              </w:rPr>
              <w:t>Dupuytren</w:t>
            </w:r>
            <w:proofErr w:type="spellEnd"/>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4</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3</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3</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adjustRightInd w:val="0"/>
              <w:spacing w:before="60" w:after="60"/>
              <w:jc w:val="right"/>
              <w:rPr>
                <w:rFonts w:ascii="Arial" w:hAnsi="Arial" w:cs="Arial"/>
                <w:color w:val="000000"/>
              </w:rPr>
            </w:pPr>
            <w:r w:rsidRPr="00E37489">
              <w:rPr>
                <w:rFonts w:ascii="Arial" w:hAnsi="Arial" w:cs="Arial"/>
                <w:color w:val="000000"/>
              </w:rPr>
              <w:t>2</w:t>
            </w:r>
          </w:p>
        </w:tc>
      </w:tr>
      <w:tr w:rsidR="00E37489" w:rsidRPr="00E37489" w:rsidTr="00A14FDE">
        <w:trPr>
          <w:cantSplit/>
          <w:jc w:val="center"/>
        </w:trPr>
        <w:tc>
          <w:tcPr>
            <w:tcW w:w="5090" w:type="dxa"/>
            <w:tcBorders>
              <w:top w:val="nil"/>
              <w:left w:val="single" w:sz="6" w:space="0" w:color="000000"/>
              <w:bottom w:val="single" w:sz="2" w:space="0" w:color="000000"/>
              <w:right w:val="nil"/>
            </w:tcBorders>
            <w:shd w:val="clear" w:color="auto" w:fill="FFFFFF"/>
            <w:tcMar>
              <w:left w:w="60" w:type="dxa"/>
              <w:right w:w="60" w:type="dxa"/>
            </w:tcMar>
          </w:tcPr>
          <w:p w:rsidR="00E37489" w:rsidRPr="00E37489" w:rsidRDefault="00E37489" w:rsidP="00E37489">
            <w:pPr>
              <w:keepNext/>
              <w:adjustRightInd w:val="0"/>
              <w:spacing w:before="60" w:after="60"/>
              <w:rPr>
                <w:rFonts w:ascii="Arial" w:hAnsi="Arial" w:cs="Arial"/>
                <w:color w:val="000000"/>
              </w:rPr>
            </w:pPr>
            <w:r w:rsidRPr="00E37489">
              <w:rPr>
                <w:rFonts w:ascii="Arial" w:hAnsi="Arial" w:cs="Arial"/>
                <w:color w:val="000000"/>
              </w:rPr>
              <w:t>Bordeaux Groupe Hospitalier Pellegrin</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0</w:t>
            </w:r>
          </w:p>
        </w:tc>
        <w:tc>
          <w:tcPr>
            <w:tcW w:w="578" w:type="dxa"/>
            <w:tcBorders>
              <w:top w:val="nil"/>
              <w:left w:val="single" w:sz="2" w:space="0" w:color="000000"/>
              <w:bottom w:val="single" w:sz="2" w:space="0" w:color="000000"/>
              <w:right w:val="nil"/>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1</w:t>
            </w:r>
          </w:p>
        </w:tc>
        <w:tc>
          <w:tcPr>
            <w:tcW w:w="578"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E37489" w:rsidRPr="00E37489" w:rsidRDefault="00E37489" w:rsidP="00E37489">
            <w:pPr>
              <w:keepNext/>
              <w:adjustRightInd w:val="0"/>
              <w:spacing w:before="60" w:after="60"/>
              <w:jc w:val="right"/>
              <w:rPr>
                <w:rFonts w:ascii="Arial" w:hAnsi="Arial" w:cs="Arial"/>
                <w:color w:val="000000"/>
              </w:rPr>
            </w:pPr>
            <w:r w:rsidRPr="00E37489">
              <w:rPr>
                <w:rFonts w:ascii="Arial" w:hAnsi="Arial" w:cs="Arial"/>
                <w:color w:val="000000"/>
              </w:rPr>
              <w:t>0</w:t>
            </w:r>
          </w:p>
        </w:tc>
      </w:tr>
      <w:tr w:rsidR="00E37489" w:rsidRPr="00E37489" w:rsidTr="00A14FDE">
        <w:trPr>
          <w:cantSplit/>
          <w:jc w:val="center"/>
        </w:trPr>
        <w:tc>
          <w:tcPr>
            <w:tcW w:w="5090" w:type="dxa"/>
            <w:tcBorders>
              <w:top w:val="nil"/>
              <w:left w:val="single" w:sz="6" w:space="0" w:color="000000"/>
              <w:bottom w:val="single" w:sz="6" w:space="0" w:color="000000"/>
              <w:right w:val="nil"/>
            </w:tcBorders>
            <w:shd w:val="clear" w:color="auto" w:fill="D3D3D3"/>
            <w:tcMar>
              <w:left w:w="60" w:type="dxa"/>
              <w:right w:w="60" w:type="dxa"/>
            </w:tcMar>
          </w:tcPr>
          <w:p w:rsidR="00E37489" w:rsidRPr="00E37489" w:rsidRDefault="00E37489" w:rsidP="00E37489">
            <w:pPr>
              <w:adjustRightInd w:val="0"/>
              <w:spacing w:before="60" w:after="60"/>
              <w:rPr>
                <w:rFonts w:ascii="Arial" w:hAnsi="Arial" w:cs="Arial"/>
                <w:b/>
                <w:bCs/>
                <w:color w:val="000000"/>
              </w:rPr>
            </w:pPr>
            <w:r w:rsidRPr="00E37489">
              <w:rPr>
                <w:rFonts w:ascii="Arial" w:hAnsi="Arial" w:cs="Arial"/>
                <w:b/>
                <w:bCs/>
                <w:color w:val="000000"/>
              </w:rPr>
              <w:t>Total</w:t>
            </w:r>
          </w:p>
        </w:tc>
        <w:tc>
          <w:tcPr>
            <w:tcW w:w="578"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32</w:t>
            </w:r>
          </w:p>
        </w:tc>
        <w:tc>
          <w:tcPr>
            <w:tcW w:w="578"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38</w:t>
            </w:r>
          </w:p>
        </w:tc>
        <w:tc>
          <w:tcPr>
            <w:tcW w:w="578"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36</w:t>
            </w:r>
          </w:p>
        </w:tc>
        <w:tc>
          <w:tcPr>
            <w:tcW w:w="578"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44</w:t>
            </w:r>
          </w:p>
        </w:tc>
        <w:tc>
          <w:tcPr>
            <w:tcW w:w="578" w:type="dxa"/>
            <w:tcBorders>
              <w:top w:val="nil"/>
              <w:left w:val="single" w:sz="2" w:space="0" w:color="000000"/>
              <w:bottom w:val="single" w:sz="6" w:space="0" w:color="000000"/>
              <w:right w:val="nil"/>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42</w:t>
            </w:r>
          </w:p>
        </w:tc>
        <w:tc>
          <w:tcPr>
            <w:tcW w:w="578" w:type="dxa"/>
            <w:tcBorders>
              <w:top w:val="nil"/>
              <w:left w:val="single" w:sz="2" w:space="0" w:color="000000"/>
              <w:bottom w:val="single" w:sz="6" w:space="0" w:color="000000"/>
              <w:right w:val="single" w:sz="6" w:space="0" w:color="000000"/>
            </w:tcBorders>
            <w:shd w:val="clear" w:color="auto" w:fill="D3D3D3"/>
            <w:tcMar>
              <w:left w:w="60" w:type="dxa"/>
              <w:right w:w="60" w:type="dxa"/>
            </w:tcMar>
            <w:vAlign w:val="bottom"/>
          </w:tcPr>
          <w:p w:rsidR="00E37489" w:rsidRPr="00E37489" w:rsidRDefault="00E37489" w:rsidP="00E37489">
            <w:pPr>
              <w:adjustRightInd w:val="0"/>
              <w:spacing w:before="60" w:after="60"/>
              <w:jc w:val="right"/>
              <w:rPr>
                <w:rFonts w:ascii="Arial" w:hAnsi="Arial" w:cs="Arial"/>
                <w:b/>
                <w:bCs/>
                <w:color w:val="000000"/>
              </w:rPr>
            </w:pPr>
            <w:r w:rsidRPr="00E37489">
              <w:rPr>
                <w:rFonts w:ascii="Arial" w:hAnsi="Arial" w:cs="Arial"/>
                <w:b/>
                <w:bCs/>
                <w:color w:val="000000"/>
              </w:rPr>
              <w:t>38</w:t>
            </w:r>
          </w:p>
        </w:tc>
      </w:tr>
    </w:tbl>
    <w:p w:rsidR="00E37489" w:rsidRDefault="00E37489" w:rsidP="007A28E1">
      <w:pPr>
        <w:jc w:val="center"/>
        <w:rPr>
          <w:rFonts w:ascii="Arial" w:hAnsi="Arial" w:cs="Arial"/>
          <w:b/>
        </w:rPr>
      </w:pPr>
    </w:p>
    <w:p w:rsidR="00E37489" w:rsidRDefault="00E37489" w:rsidP="007A28E1">
      <w:pPr>
        <w:jc w:val="center"/>
        <w:rPr>
          <w:rFonts w:ascii="Arial" w:hAnsi="Arial" w:cs="Arial"/>
          <w:b/>
        </w:rPr>
      </w:pPr>
    </w:p>
    <w:p w:rsidR="007A28E1" w:rsidRPr="005437DC" w:rsidRDefault="007A28E1" w:rsidP="007A28E1">
      <w:pPr>
        <w:jc w:val="center"/>
        <w:rPr>
          <w:rFonts w:ascii="Arial" w:hAnsi="Arial" w:cs="Arial"/>
        </w:rPr>
      </w:pPr>
      <w:r w:rsidRPr="005437DC">
        <w:rPr>
          <w:rFonts w:ascii="Arial" w:hAnsi="Arial" w:cs="Arial"/>
        </w:rPr>
        <w:t xml:space="preserve">(2) source : base </w:t>
      </w:r>
      <w:proofErr w:type="spellStart"/>
      <w:r w:rsidRPr="005437DC">
        <w:rPr>
          <w:rFonts w:ascii="Arial" w:hAnsi="Arial" w:cs="Arial"/>
        </w:rPr>
        <w:t>ProMISe</w:t>
      </w:r>
      <w:proofErr w:type="spellEnd"/>
    </w:p>
    <w:p w:rsidR="002E4B86" w:rsidRDefault="002E4B86"/>
    <w:sectPr w:rsidR="002E4B8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E7" w:rsidRDefault="005F7AE7" w:rsidP="005F7AE7">
      <w:r>
        <w:separator/>
      </w:r>
    </w:p>
  </w:endnote>
  <w:endnote w:type="continuationSeparator" w:id="0">
    <w:p w:rsidR="005F7AE7" w:rsidRDefault="005F7AE7" w:rsidP="005F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E7" w:rsidRDefault="005F7AE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044334"/>
      <w:docPartObj>
        <w:docPartGallery w:val="Page Numbers (Bottom of Page)"/>
        <w:docPartUnique/>
      </w:docPartObj>
    </w:sdtPr>
    <w:sdtEndPr/>
    <w:sdtContent>
      <w:p w:rsidR="005F7AE7" w:rsidRDefault="005F7AE7" w:rsidP="005F7AE7">
        <w:pPr>
          <w:pStyle w:val="Pieddepage"/>
          <w:rPr>
            <w:rFonts w:ascii="Arial" w:hAnsi="Arial" w:cs="Arial"/>
            <w:b/>
            <w:color w:val="1F497D"/>
            <w:sz w:val="18"/>
            <w:szCs w:val="18"/>
            <w:lang w:val="en-US"/>
          </w:rPr>
        </w:pPr>
        <w:r>
          <w:rPr>
            <w:rFonts w:ascii="Arial" w:hAnsi="Arial" w:cs="Arial"/>
            <w:b/>
            <w:color w:val="1F497D"/>
            <w:sz w:val="18"/>
            <w:szCs w:val="18"/>
            <w:lang w:val="en-US"/>
          </w:rPr>
          <w:t>RAPPORT REGIONAL 2015 DPGCSH </w:t>
        </w:r>
      </w:p>
      <w:p w:rsidR="005F7AE7" w:rsidRDefault="005F7AE7" w:rsidP="005F7AE7">
        <w:pPr>
          <w:pStyle w:val="Pieddepage"/>
        </w:pPr>
        <w:r>
          <w:rPr>
            <w:rFonts w:ascii="Arial" w:hAnsi="Arial" w:cs="Arial"/>
            <w:b/>
            <w:color w:val="1F497D"/>
            <w:sz w:val="18"/>
            <w:szCs w:val="18"/>
            <w:lang w:val="en-US"/>
          </w:rPr>
          <w:t>CENTRE</w:t>
        </w:r>
        <w:r>
          <w:rPr>
            <w:rFonts w:ascii="Arial" w:hAnsi="Arial" w:cs="Arial"/>
            <w:b/>
            <w:color w:val="1F497D"/>
            <w:sz w:val="18"/>
            <w:szCs w:val="18"/>
            <w:lang w:val="en-US"/>
          </w:rPr>
          <w:tab/>
        </w:r>
        <w:r>
          <w:fldChar w:fldCharType="begin"/>
        </w:r>
        <w:r>
          <w:instrText>PAGE   \* MERGEFORMAT</w:instrText>
        </w:r>
        <w:r>
          <w:fldChar w:fldCharType="separate"/>
        </w:r>
        <w:r w:rsidR="00B2747C">
          <w:rPr>
            <w:noProof/>
          </w:rPr>
          <w:t>3</w:t>
        </w:r>
        <w:r>
          <w:fldChar w:fldCharType="end"/>
        </w:r>
      </w:p>
    </w:sdtContent>
  </w:sdt>
  <w:p w:rsidR="005F7AE7" w:rsidRDefault="005F7AE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E7" w:rsidRDefault="005F7A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E7" w:rsidRDefault="005F7AE7" w:rsidP="005F7AE7">
      <w:r>
        <w:separator/>
      </w:r>
    </w:p>
  </w:footnote>
  <w:footnote w:type="continuationSeparator" w:id="0">
    <w:p w:rsidR="005F7AE7" w:rsidRDefault="005F7AE7" w:rsidP="005F7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E7" w:rsidRDefault="005F7A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E7" w:rsidRDefault="005F7A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E7" w:rsidRDefault="005F7AE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6F74D0"/>
    <w:rsid w:val="00187318"/>
    <w:rsid w:val="002E4B86"/>
    <w:rsid w:val="003350D8"/>
    <w:rsid w:val="00475EF2"/>
    <w:rsid w:val="004B32C0"/>
    <w:rsid w:val="0052772A"/>
    <w:rsid w:val="00536735"/>
    <w:rsid w:val="005437DC"/>
    <w:rsid w:val="005A7636"/>
    <w:rsid w:val="005B3A6D"/>
    <w:rsid w:val="005F7AE7"/>
    <w:rsid w:val="00687D7A"/>
    <w:rsid w:val="006C4FEE"/>
    <w:rsid w:val="006F74D0"/>
    <w:rsid w:val="007A28E1"/>
    <w:rsid w:val="007C2593"/>
    <w:rsid w:val="009631E9"/>
    <w:rsid w:val="00B17098"/>
    <w:rsid w:val="00B2747C"/>
    <w:rsid w:val="00B94945"/>
    <w:rsid w:val="00D47C13"/>
    <w:rsid w:val="00E37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86"/>
    <w:pPr>
      <w:autoSpaceDE w:val="0"/>
      <w:autoSpaceDN w:val="0"/>
      <w:spacing w:after="0" w:line="240" w:lineRule="auto"/>
    </w:pPr>
    <w:rPr>
      <w:rFonts w:ascii="Times New Roman" w:eastAsiaTheme="minorEastAsia"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7AE7"/>
    <w:pPr>
      <w:tabs>
        <w:tab w:val="center" w:pos="4536"/>
        <w:tab w:val="right" w:pos="9072"/>
      </w:tabs>
    </w:pPr>
  </w:style>
  <w:style w:type="character" w:customStyle="1" w:styleId="En-tteCar">
    <w:name w:val="En-tête Car"/>
    <w:basedOn w:val="Policepardfaut"/>
    <w:link w:val="En-tte"/>
    <w:uiPriority w:val="99"/>
    <w:rsid w:val="005F7AE7"/>
    <w:rPr>
      <w:rFonts w:ascii="Times New Roman" w:eastAsiaTheme="minorEastAsia" w:hAnsi="Times New Roman" w:cs="Times New Roman"/>
      <w:sz w:val="20"/>
      <w:szCs w:val="20"/>
      <w:lang w:eastAsia="fr-FR"/>
    </w:rPr>
  </w:style>
  <w:style w:type="paragraph" w:styleId="Pieddepage">
    <w:name w:val="footer"/>
    <w:basedOn w:val="Normal"/>
    <w:link w:val="PieddepageCar"/>
    <w:uiPriority w:val="99"/>
    <w:unhideWhenUsed/>
    <w:rsid w:val="005F7AE7"/>
    <w:pPr>
      <w:tabs>
        <w:tab w:val="center" w:pos="4536"/>
        <w:tab w:val="right" w:pos="9072"/>
      </w:tabs>
    </w:pPr>
  </w:style>
  <w:style w:type="character" w:customStyle="1" w:styleId="PieddepageCar">
    <w:name w:val="Pied de page Car"/>
    <w:basedOn w:val="Policepardfaut"/>
    <w:link w:val="Pieddepage"/>
    <w:uiPriority w:val="99"/>
    <w:rsid w:val="005F7AE7"/>
    <w:rPr>
      <w:rFonts w:ascii="Times New Roman" w:eastAsiaTheme="minorEastAsia"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86"/>
    <w:pPr>
      <w:autoSpaceDE w:val="0"/>
      <w:autoSpaceDN w:val="0"/>
      <w:spacing w:after="0" w:line="240" w:lineRule="auto"/>
    </w:pPr>
    <w:rPr>
      <w:rFonts w:ascii="Times New Roman" w:eastAsiaTheme="minorEastAsia"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7AE7"/>
    <w:pPr>
      <w:tabs>
        <w:tab w:val="center" w:pos="4536"/>
        <w:tab w:val="right" w:pos="9072"/>
      </w:tabs>
    </w:pPr>
  </w:style>
  <w:style w:type="character" w:customStyle="1" w:styleId="En-tteCar">
    <w:name w:val="En-tête Car"/>
    <w:basedOn w:val="Policepardfaut"/>
    <w:link w:val="En-tte"/>
    <w:uiPriority w:val="99"/>
    <w:rsid w:val="005F7AE7"/>
    <w:rPr>
      <w:rFonts w:ascii="Times New Roman" w:eastAsiaTheme="minorEastAsia" w:hAnsi="Times New Roman" w:cs="Times New Roman"/>
      <w:sz w:val="20"/>
      <w:szCs w:val="20"/>
      <w:lang w:eastAsia="fr-FR"/>
    </w:rPr>
  </w:style>
  <w:style w:type="paragraph" w:styleId="Pieddepage">
    <w:name w:val="footer"/>
    <w:basedOn w:val="Normal"/>
    <w:link w:val="PieddepageCar"/>
    <w:uiPriority w:val="99"/>
    <w:unhideWhenUsed/>
    <w:rsid w:val="005F7AE7"/>
    <w:pPr>
      <w:tabs>
        <w:tab w:val="center" w:pos="4536"/>
        <w:tab w:val="right" w:pos="9072"/>
      </w:tabs>
    </w:pPr>
  </w:style>
  <w:style w:type="character" w:customStyle="1" w:styleId="PieddepageCar">
    <w:name w:val="Pied de page Car"/>
    <w:basedOn w:val="Policepardfaut"/>
    <w:link w:val="Pieddepage"/>
    <w:uiPriority w:val="99"/>
    <w:rsid w:val="005F7AE7"/>
    <w:rPr>
      <w:rFonts w:ascii="Times New Roman" w:eastAsiaTheme="minorEastAsia"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Agence de la biomédecine</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MESNIL</dc:creator>
  <cp:lastModifiedBy>Florence MESNIL</cp:lastModifiedBy>
  <cp:revision>8</cp:revision>
  <dcterms:created xsi:type="dcterms:W3CDTF">2016-12-15T14:52:00Z</dcterms:created>
  <dcterms:modified xsi:type="dcterms:W3CDTF">2017-03-13T11:14:00Z</dcterms:modified>
</cp:coreProperties>
</file>