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872"/>
          <w:tab w:val="left" w:pos="6872"/>
          <w:tab w:val="left" w:pos="6872"/>
          <w:tab w:val="left" w:pos="6872"/>
        </w:tabs>
        <w:spacing w:before="240" w:after="120"/>
        <w:ind w:left="113" w:right="113"/>
        <w:jc w:val="center"/>
        <w:outlineLvl w:val="0"/>
        <w:rPr>
          <w:rFonts w:ascii="Arial Bold" w:eastAsia="Arial Bold" w:hAnsi="Arial Bold" w:cs="Arial Bold"/>
          <w:b/>
          <w:bCs/>
          <w:sz w:val="32"/>
          <w:szCs w:val="32"/>
          <w:lang w:val="fr-FR"/>
        </w:rPr>
      </w:pPr>
      <w:r>
        <w:rPr>
          <w:rFonts w:ascii="Arial Bold" w:eastAsia="Arial Bold" w:hAnsi="Arial Bold" w:cs="Arial Bold"/>
          <w:b/>
          <w:bCs/>
          <w:sz w:val="32"/>
          <w:szCs w:val="32"/>
          <w:lang w:val="fr-FR"/>
        </w:rPr>
        <w:t>Charte de l'Information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872"/>
          <w:tab w:val="left" w:pos="6872"/>
          <w:tab w:val="left" w:pos="6872"/>
          <w:tab w:val="left" w:pos="6872"/>
        </w:tabs>
        <w:spacing w:before="240" w:after="120"/>
        <w:ind w:left="113" w:right="113"/>
        <w:jc w:val="center"/>
        <w:outlineLvl w:val="0"/>
        <w:rPr>
          <w:rFonts w:ascii="Arial Bold" w:eastAsia="Arial Bold" w:hAnsi="Arial Bold" w:cs="Arial Bold"/>
          <w:b/>
          <w:bCs/>
          <w:sz w:val="32"/>
          <w:szCs w:val="32"/>
          <w:lang w:val="fr-FR"/>
        </w:rPr>
      </w:pPr>
      <w:proofErr w:type="gramStart"/>
      <w:r>
        <w:rPr>
          <w:rFonts w:ascii="Arial Bold" w:eastAsia="Arial Bold" w:hAnsi="Arial Bold" w:cs="Arial Bold"/>
          <w:b/>
          <w:bCs/>
          <w:sz w:val="28"/>
          <w:szCs w:val="28"/>
          <w:lang w:val="fr-FR"/>
        </w:rPr>
        <w:t>du</w:t>
      </w:r>
      <w:proofErr w:type="gramEnd"/>
      <w:r>
        <w:rPr>
          <w:rFonts w:ascii="Arial Bold" w:eastAsia="Arial Bold" w:hAnsi="Arial Bold" w:cs="Arial Bold"/>
          <w:b/>
          <w:bCs/>
          <w:sz w:val="28"/>
          <w:szCs w:val="28"/>
          <w:lang w:val="fr-FR"/>
        </w:rPr>
        <w:t xml:space="preserve"> R</w:t>
      </w:r>
      <w:r w:rsidR="001A3B17">
        <w:rPr>
          <w:rFonts w:ascii="Arial Bold" w:eastAsia="Arial Bold" w:hAnsi="Arial Bold" w:cs="Arial Bold"/>
          <w:b/>
          <w:bCs/>
          <w:sz w:val="28"/>
          <w:szCs w:val="28"/>
          <w:lang w:val="fr-FR"/>
        </w:rPr>
        <w:t>é</w:t>
      </w:r>
      <w:r>
        <w:rPr>
          <w:rFonts w:ascii="Arial Bold" w:eastAsia="Arial Bold" w:hAnsi="Arial Bold" w:cs="Arial Bold"/>
          <w:b/>
          <w:bCs/>
          <w:sz w:val="28"/>
          <w:szCs w:val="28"/>
          <w:lang w:val="fr-FR"/>
        </w:rPr>
        <w:t>seau Epid</w:t>
      </w:r>
      <w:r w:rsidR="001A3B17">
        <w:rPr>
          <w:rFonts w:ascii="Arial Bold" w:eastAsia="Arial Bold" w:hAnsi="Arial Bold" w:cs="Arial Bold"/>
          <w:b/>
          <w:bCs/>
          <w:sz w:val="28"/>
          <w:szCs w:val="28"/>
          <w:lang w:val="fr-FR"/>
        </w:rPr>
        <w:t>é</w:t>
      </w:r>
      <w:r>
        <w:rPr>
          <w:rFonts w:ascii="Arial Bold" w:eastAsia="Arial Bold" w:hAnsi="Arial Bold" w:cs="Arial Bold"/>
          <w:b/>
          <w:bCs/>
          <w:sz w:val="28"/>
          <w:szCs w:val="28"/>
          <w:lang w:val="fr-FR"/>
        </w:rPr>
        <w:t>miologie et Information en N</w:t>
      </w:r>
      <w:r w:rsidR="001A3B17">
        <w:rPr>
          <w:rFonts w:ascii="Arial Bold" w:eastAsia="Arial Bold" w:hAnsi="Arial Bold" w:cs="Arial Bold"/>
          <w:b/>
          <w:bCs/>
          <w:sz w:val="28"/>
          <w:szCs w:val="28"/>
          <w:lang w:val="fr-FR"/>
        </w:rPr>
        <w:t>é</w:t>
      </w:r>
      <w:r>
        <w:rPr>
          <w:rFonts w:ascii="Arial Bold" w:eastAsia="Arial Bold" w:hAnsi="Arial Bold" w:cs="Arial Bold"/>
          <w:b/>
          <w:bCs/>
          <w:sz w:val="28"/>
          <w:szCs w:val="28"/>
          <w:lang w:val="fr-FR"/>
        </w:rPr>
        <w:t>phrologie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center"/>
        <w:outlineLvl w:val="0"/>
        <w:rPr>
          <w:rFonts w:ascii="Arial" w:eastAsia="Arial" w:hAnsi="Arial" w:cs="Arial"/>
          <w:sz w:val="20"/>
          <w:szCs w:val="20"/>
          <w:lang w:val="fr-FR"/>
        </w:rPr>
      </w:pPr>
      <w:proofErr w:type="gramStart"/>
      <w:r>
        <w:rPr>
          <w:rFonts w:ascii="Arial" w:eastAsia="Arial" w:hAnsi="Arial" w:cs="Arial"/>
          <w:sz w:val="20"/>
          <w:szCs w:val="20"/>
          <w:lang w:val="fr-FR"/>
        </w:rPr>
        <w:t>version</w:t>
      </w:r>
      <w:proofErr w:type="gramEnd"/>
      <w:r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C5087E">
        <w:rPr>
          <w:rFonts w:ascii="Arial" w:eastAsia="Arial" w:hAnsi="Arial" w:cs="Arial"/>
          <w:sz w:val="20"/>
          <w:szCs w:val="20"/>
          <w:lang w:val="fr-FR"/>
        </w:rPr>
        <w:t>5.0</w:t>
      </w:r>
      <w:r>
        <w:rPr>
          <w:rFonts w:ascii="Arial" w:eastAsia="Arial" w:hAnsi="Arial" w:cs="Arial"/>
          <w:sz w:val="20"/>
          <w:szCs w:val="20"/>
          <w:lang w:val="fr-FR"/>
        </w:rPr>
        <w:t xml:space="preserve">, </w:t>
      </w:r>
      <w:r w:rsidR="00C5087E">
        <w:rPr>
          <w:rFonts w:ascii="Arial" w:eastAsia="Arial" w:hAnsi="Arial" w:cs="Arial"/>
          <w:sz w:val="20"/>
          <w:szCs w:val="20"/>
          <w:lang w:val="fr-FR"/>
        </w:rPr>
        <w:t>novembre 2018</w:t>
      </w:r>
    </w:p>
    <w:p w:rsidR="00F04588" w:rsidRDefault="00F0458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</w:p>
    <w:p w:rsidR="00F04588" w:rsidRDefault="00F0458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</w:p>
    <w:p w:rsidR="00F04588" w:rsidRDefault="00F0458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La charte de l'information du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 Epid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miologie et Information en 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phrologie (REIN) pr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cise les principes retenus en termes de gestion, d'exploitation et de valorisation scientifique de l'information recueillie. Elle se substitue à la charte intitul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 « Utilisateur du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 Epid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miologie et Information en 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phrologie ».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972"/>
          <w:tab w:val="left" w:pos="6972"/>
          <w:tab w:val="left" w:pos="6972"/>
          <w:tab w:val="left" w:pos="6972"/>
        </w:tabs>
        <w:spacing w:before="120" w:after="120"/>
        <w:ind w:right="108"/>
        <w:outlineLvl w:val="0"/>
        <w:rPr>
          <w:rFonts w:ascii="Arial Bold" w:eastAsia="Arial Bold" w:hAnsi="Arial Bold" w:cs="Arial Bold"/>
          <w:b/>
          <w:bCs/>
          <w:lang w:val="fr-FR"/>
        </w:rPr>
      </w:pPr>
      <w:r>
        <w:rPr>
          <w:rFonts w:ascii="Arial Bold" w:eastAsia="Arial Bold" w:hAnsi="Arial Bold" w:cs="Arial Bold"/>
          <w:b/>
          <w:bCs/>
          <w:lang w:val="fr-FR"/>
        </w:rPr>
        <w:t xml:space="preserve"> 1 - Conformit</w:t>
      </w:r>
      <w:r w:rsidR="001A3B17">
        <w:rPr>
          <w:rFonts w:ascii="Arial Bold" w:eastAsia="Arial Bold" w:hAnsi="Arial Bold" w:cs="Arial Bold"/>
          <w:b/>
          <w:bCs/>
          <w:lang w:val="fr-FR"/>
        </w:rPr>
        <w:t>é</w:t>
      </w:r>
      <w:r>
        <w:rPr>
          <w:rFonts w:ascii="Arial Bold" w:eastAsia="Arial Bold" w:hAnsi="Arial Bold" w:cs="Arial Bold"/>
          <w:b/>
          <w:bCs/>
          <w:lang w:val="fr-FR"/>
        </w:rPr>
        <w:t xml:space="preserve"> aux dispositions r</w:t>
      </w:r>
      <w:r w:rsidR="001A3B17">
        <w:rPr>
          <w:rFonts w:ascii="Arial Bold" w:eastAsia="Arial Bold" w:hAnsi="Arial Bold" w:cs="Arial Bold"/>
          <w:b/>
          <w:bCs/>
          <w:lang w:val="fr-FR"/>
        </w:rPr>
        <w:t>é</w:t>
      </w:r>
      <w:r>
        <w:rPr>
          <w:rFonts w:ascii="Arial Bold" w:eastAsia="Arial Bold" w:hAnsi="Arial Bold" w:cs="Arial Bold"/>
          <w:b/>
          <w:bCs/>
          <w:lang w:val="fr-FR"/>
        </w:rPr>
        <w:t>glementaires :</w:t>
      </w:r>
    </w:p>
    <w:p w:rsidR="00F04588" w:rsidRDefault="00EF1945" w:rsidP="00C5087E">
      <w:pPr>
        <w:pStyle w:val="Corpsdetexte"/>
        <w:kinsoku w:val="0"/>
        <w:overflowPunct w:val="0"/>
        <w:spacing w:after="240"/>
        <w:ind w:left="142" w:right="11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L'ensemble des partenaires du r</w:t>
      </w:r>
      <w:r w:rsidR="001A3B17">
        <w:rPr>
          <w:rFonts w:ascii="Arial" w:eastAsia="Arial" w:hAnsi="Arial" w:cs="Arial"/>
          <w:sz w:val="20"/>
        </w:rPr>
        <w:t>é</w:t>
      </w:r>
      <w:r>
        <w:rPr>
          <w:rFonts w:ascii="Arial" w:eastAsia="Arial" w:hAnsi="Arial" w:cs="Arial"/>
          <w:sz w:val="20"/>
        </w:rPr>
        <w:t>seau organise les traitements des informations recueillies en conformit</w:t>
      </w:r>
      <w:r w:rsidR="001A3B17">
        <w:rPr>
          <w:rFonts w:ascii="Arial" w:eastAsia="Arial" w:hAnsi="Arial" w:cs="Arial"/>
          <w:sz w:val="20"/>
        </w:rPr>
        <w:t>é</w:t>
      </w:r>
      <w:r>
        <w:rPr>
          <w:rFonts w:ascii="Arial" w:eastAsia="Arial" w:hAnsi="Arial" w:cs="Arial"/>
          <w:sz w:val="20"/>
        </w:rPr>
        <w:t xml:space="preserve"> avec les dispositions r</w:t>
      </w:r>
      <w:r w:rsidR="001A3B17">
        <w:rPr>
          <w:rFonts w:ascii="Arial" w:eastAsia="Arial" w:hAnsi="Arial" w:cs="Arial"/>
          <w:sz w:val="20"/>
        </w:rPr>
        <w:t>é</w:t>
      </w:r>
      <w:r>
        <w:rPr>
          <w:rFonts w:ascii="Arial" w:eastAsia="Arial" w:hAnsi="Arial" w:cs="Arial"/>
          <w:sz w:val="20"/>
        </w:rPr>
        <w:t xml:space="preserve">glementaires en vigueur. </w:t>
      </w:r>
      <w:r w:rsidR="00C5087E">
        <w:rPr>
          <w:rFonts w:ascii="Arial" w:eastAsia="Arial" w:hAnsi="Arial" w:cs="Arial"/>
          <w:sz w:val="20"/>
        </w:rPr>
        <w:t xml:space="preserve">Ils </w:t>
      </w:r>
      <w:r w:rsidR="00C5087E" w:rsidRPr="006417B9">
        <w:rPr>
          <w:rFonts w:ascii="Arial" w:eastAsia="Arial" w:hAnsi="Arial" w:cs="Arial"/>
          <w:sz w:val="20"/>
        </w:rPr>
        <w:t>s’engagent notamment à respecter la réglementation en vigueur applicable au traitement de données à caractère personnel et, en particulier, le règlement (UE) 2016/679 du Parlement européen et du Conseil du 27 avril 2016 applicable à compter du 25 mai 2018 (ci-après, « le règlement européen sur la protection des données »)</w:t>
      </w:r>
      <w:r w:rsidR="006417B9" w:rsidRPr="006417B9">
        <w:rPr>
          <w:rFonts w:ascii="Arial" w:eastAsia="Arial" w:hAnsi="Arial" w:cs="Arial"/>
          <w:sz w:val="20"/>
        </w:rPr>
        <w:t xml:space="preserve"> et la loi 78-17 du 6 janvier 1978 relative à l’informatique, aux fichiers et aux libertés</w:t>
      </w:r>
      <w:r w:rsidR="006417B9">
        <w:rPr>
          <w:rFonts w:ascii="Arial" w:eastAsia="Arial" w:hAnsi="Arial" w:cs="Arial"/>
          <w:sz w:val="20"/>
        </w:rPr>
        <w:t xml:space="preserve"> modifiée</w:t>
      </w:r>
      <w:r w:rsidR="00C5087E" w:rsidRPr="006417B9">
        <w:rPr>
          <w:rFonts w:ascii="Arial" w:eastAsia="Arial" w:hAnsi="Arial" w:cs="Arial"/>
          <w:sz w:val="20"/>
        </w:rPr>
        <w:t>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Les dossiers CNIL concernant DIADEM et CRISTAL sont directement g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par l'agence de la biom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decine, sous la responsabilit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de son directeur g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ral. 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On rappelle que: </w:t>
      </w:r>
    </w:p>
    <w:p w:rsidR="00F04588" w:rsidRDefault="00EF1945">
      <w:pPr>
        <w:widowControl w:val="0"/>
        <w:numPr>
          <w:ilvl w:val="0"/>
          <w:numId w:val="3"/>
        </w:numPr>
        <w:tabs>
          <w:tab w:val="clear" w:pos="87"/>
          <w:tab w:val="num" w:pos="10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ind w:left="283" w:hanging="283"/>
        <w:jc w:val="both"/>
        <w:outlineLvl w:val="0"/>
        <w:rPr>
          <w:rFonts w:ascii="Arial" w:eastAsia="Arial" w:hAnsi="Arial" w:cs="Arial"/>
          <w:lang w:val="fr-FR"/>
        </w:rPr>
      </w:pPr>
      <w:proofErr w:type="gramStart"/>
      <w:r>
        <w:rPr>
          <w:rFonts w:ascii="Arial"/>
          <w:sz w:val="20"/>
          <w:szCs w:val="20"/>
          <w:lang w:val="fr-FR"/>
        </w:rPr>
        <w:t>les</w:t>
      </w:r>
      <w:proofErr w:type="gramEnd"/>
      <w:r>
        <w:rPr>
          <w:rFonts w:ascii="Arial"/>
          <w:sz w:val="20"/>
          <w:szCs w:val="20"/>
          <w:lang w:val="fr-FR"/>
        </w:rPr>
        <w:t xml:space="preserve"> informations m</w:t>
      </w:r>
      <w:r w:rsidR="001A3B17">
        <w:rPr>
          <w:rFonts w:hAnsi="Arial Unicode MS"/>
          <w:sz w:val="20"/>
          <w:szCs w:val="20"/>
          <w:lang w:val="fr-FR"/>
        </w:rPr>
        <w:t>é</w:t>
      </w:r>
      <w:r>
        <w:rPr>
          <w:rFonts w:ascii="Arial"/>
          <w:sz w:val="20"/>
          <w:szCs w:val="20"/>
          <w:lang w:val="fr-FR"/>
        </w:rPr>
        <w:t>dicales nominatives recueillies sont transmises de mani</w:t>
      </w:r>
      <w:r>
        <w:rPr>
          <w:rFonts w:hAnsi="Arial Unicode MS"/>
          <w:sz w:val="20"/>
          <w:szCs w:val="20"/>
          <w:lang w:val="fr-FR"/>
        </w:rPr>
        <w:t>è</w:t>
      </w:r>
      <w:r>
        <w:rPr>
          <w:rFonts w:ascii="Arial"/>
          <w:sz w:val="20"/>
          <w:szCs w:val="20"/>
          <w:lang w:val="fr-FR"/>
        </w:rPr>
        <w:t>re s</w:t>
      </w:r>
      <w:r w:rsidR="001A3B17">
        <w:rPr>
          <w:rFonts w:hAnsi="Arial Unicode MS"/>
          <w:sz w:val="20"/>
          <w:szCs w:val="20"/>
          <w:lang w:val="fr-FR"/>
        </w:rPr>
        <w:t>é</w:t>
      </w:r>
      <w:r>
        <w:rPr>
          <w:rFonts w:ascii="Arial"/>
          <w:sz w:val="20"/>
          <w:szCs w:val="20"/>
          <w:lang w:val="fr-FR"/>
        </w:rPr>
        <w:t>curis</w:t>
      </w:r>
      <w:r w:rsidR="001A3B17">
        <w:rPr>
          <w:rFonts w:hAnsi="Arial Unicode MS"/>
          <w:sz w:val="20"/>
          <w:szCs w:val="20"/>
          <w:lang w:val="fr-FR"/>
        </w:rPr>
        <w:t>é</w:t>
      </w:r>
      <w:r>
        <w:rPr>
          <w:rFonts w:ascii="Arial"/>
          <w:sz w:val="20"/>
          <w:szCs w:val="20"/>
          <w:lang w:val="fr-FR"/>
        </w:rPr>
        <w:t>e;</w:t>
      </w:r>
    </w:p>
    <w:p w:rsidR="00F04588" w:rsidRDefault="00EF1945" w:rsidP="001A3B17">
      <w:pPr>
        <w:widowControl w:val="0"/>
        <w:numPr>
          <w:ilvl w:val="0"/>
          <w:numId w:val="3"/>
        </w:numPr>
        <w:tabs>
          <w:tab w:val="clear" w:pos="87"/>
          <w:tab w:val="num" w:pos="10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ind w:left="283" w:hanging="283"/>
        <w:jc w:val="both"/>
        <w:outlineLvl w:val="0"/>
        <w:rPr>
          <w:rFonts w:ascii="Arial" w:eastAsia="Arial" w:hAnsi="Arial" w:cs="Arial"/>
          <w:lang w:val="fr-FR"/>
        </w:rPr>
      </w:pPr>
      <w:proofErr w:type="gramStart"/>
      <w:r>
        <w:rPr>
          <w:rFonts w:ascii="Arial"/>
          <w:sz w:val="20"/>
          <w:szCs w:val="20"/>
          <w:lang w:val="fr-FR"/>
        </w:rPr>
        <w:t>les</w:t>
      </w:r>
      <w:proofErr w:type="gramEnd"/>
      <w:r>
        <w:rPr>
          <w:rFonts w:ascii="Arial"/>
          <w:sz w:val="20"/>
          <w:szCs w:val="20"/>
          <w:lang w:val="fr-FR"/>
        </w:rPr>
        <w:t xml:space="preserve"> patients trait</w:t>
      </w:r>
      <w:r w:rsidR="001A3B17">
        <w:rPr>
          <w:rFonts w:hAnsi="Arial Unicode MS"/>
          <w:sz w:val="20"/>
          <w:szCs w:val="20"/>
          <w:lang w:val="fr-FR"/>
        </w:rPr>
        <w:t>é</w:t>
      </w:r>
      <w:r>
        <w:rPr>
          <w:rFonts w:ascii="Arial"/>
          <w:sz w:val="20"/>
          <w:szCs w:val="20"/>
          <w:lang w:val="fr-FR"/>
        </w:rPr>
        <w:t>s par une structure participant au programme REIN sont inform</w:t>
      </w:r>
      <w:r w:rsidR="001A3B17">
        <w:rPr>
          <w:rFonts w:ascii="Arial"/>
          <w:sz w:val="20"/>
          <w:szCs w:val="20"/>
          <w:lang w:val="fr-FR"/>
        </w:rPr>
        <w:t>é</w:t>
      </w:r>
      <w:r>
        <w:rPr>
          <w:rFonts w:ascii="Arial"/>
          <w:sz w:val="20"/>
          <w:szCs w:val="20"/>
          <w:lang w:val="fr-FR"/>
        </w:rPr>
        <w:t>s du recueil informatique de donn</w:t>
      </w:r>
      <w:r w:rsidR="001A3B17">
        <w:rPr>
          <w:rFonts w:hAnsi="Arial Unicode MS"/>
          <w:sz w:val="20"/>
          <w:szCs w:val="20"/>
          <w:lang w:val="fr-FR"/>
        </w:rPr>
        <w:t>é</w:t>
      </w:r>
      <w:r>
        <w:rPr>
          <w:rFonts w:ascii="Arial"/>
          <w:sz w:val="20"/>
          <w:szCs w:val="20"/>
          <w:lang w:val="fr-FR"/>
        </w:rPr>
        <w:t>es les concernant par voie d'affiche; un patient peut exercer son droit d</w:t>
      </w:r>
      <w:r>
        <w:rPr>
          <w:rFonts w:hAnsi="Arial Unicode MS"/>
          <w:sz w:val="20"/>
          <w:szCs w:val="20"/>
          <w:lang w:val="fr-FR"/>
        </w:rPr>
        <w:t>’</w:t>
      </w:r>
      <w:r>
        <w:rPr>
          <w:rFonts w:ascii="Arial"/>
          <w:sz w:val="20"/>
          <w:szCs w:val="20"/>
          <w:lang w:val="fr-FR"/>
        </w:rPr>
        <w:t>acc</w:t>
      </w:r>
      <w:r>
        <w:rPr>
          <w:rFonts w:hAnsi="Arial Unicode MS"/>
          <w:sz w:val="20"/>
          <w:szCs w:val="20"/>
          <w:lang w:val="fr-FR"/>
        </w:rPr>
        <w:t>è</w:t>
      </w:r>
      <w:r>
        <w:rPr>
          <w:rFonts w:ascii="Arial"/>
          <w:sz w:val="20"/>
          <w:szCs w:val="20"/>
          <w:lang w:val="fr-FR"/>
        </w:rPr>
        <w:t>s et de rectification. Un patient peut s</w:t>
      </w:r>
      <w:r>
        <w:rPr>
          <w:rFonts w:hAnsi="Arial Unicode MS"/>
          <w:sz w:val="20"/>
          <w:szCs w:val="20"/>
          <w:lang w:val="fr-FR"/>
        </w:rPr>
        <w:t>’</w:t>
      </w:r>
      <w:r>
        <w:rPr>
          <w:rFonts w:ascii="Arial"/>
          <w:sz w:val="20"/>
          <w:szCs w:val="20"/>
          <w:lang w:val="fr-FR"/>
        </w:rPr>
        <w:t xml:space="preserve">opposer </w:t>
      </w:r>
      <w:r>
        <w:rPr>
          <w:rFonts w:hAnsi="Arial Unicode MS"/>
          <w:sz w:val="20"/>
          <w:szCs w:val="20"/>
          <w:lang w:val="fr-FR"/>
        </w:rPr>
        <w:t>à</w:t>
      </w:r>
      <w:r>
        <w:rPr>
          <w:rFonts w:hAnsi="Arial Unicode MS"/>
          <w:sz w:val="20"/>
          <w:szCs w:val="20"/>
          <w:lang w:val="fr-FR"/>
        </w:rPr>
        <w:t xml:space="preserve"> </w:t>
      </w:r>
      <w:r>
        <w:rPr>
          <w:rFonts w:ascii="Arial"/>
          <w:sz w:val="20"/>
          <w:szCs w:val="20"/>
          <w:lang w:val="fr-FR"/>
        </w:rPr>
        <w:t xml:space="preserve">un recueil nominatif et </w:t>
      </w:r>
      <w:r>
        <w:rPr>
          <w:rFonts w:hAnsi="Arial Unicode MS"/>
          <w:sz w:val="20"/>
          <w:szCs w:val="20"/>
          <w:lang w:val="fr-FR"/>
        </w:rPr>
        <w:t>ê</w:t>
      </w:r>
      <w:r>
        <w:rPr>
          <w:rFonts w:ascii="Arial"/>
          <w:sz w:val="20"/>
          <w:szCs w:val="20"/>
          <w:lang w:val="fr-FR"/>
        </w:rPr>
        <w:t>tre enregistr</w:t>
      </w:r>
      <w:r w:rsidR="001A3B17">
        <w:rPr>
          <w:rFonts w:hAnsi="Arial Unicode MS"/>
          <w:sz w:val="20"/>
          <w:szCs w:val="20"/>
          <w:lang w:val="fr-FR"/>
        </w:rPr>
        <w:t>é</w:t>
      </w:r>
      <w:r>
        <w:rPr>
          <w:rFonts w:hAnsi="Arial Unicode MS"/>
          <w:sz w:val="20"/>
          <w:szCs w:val="20"/>
          <w:lang w:val="fr-FR"/>
        </w:rPr>
        <w:t xml:space="preserve"> </w:t>
      </w:r>
      <w:r>
        <w:rPr>
          <w:rFonts w:ascii="Arial"/>
          <w:sz w:val="20"/>
          <w:szCs w:val="20"/>
          <w:lang w:val="fr-FR"/>
        </w:rPr>
        <w:t>sous X.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972"/>
          <w:tab w:val="left" w:pos="6972"/>
          <w:tab w:val="left" w:pos="6972"/>
          <w:tab w:val="left" w:pos="6972"/>
        </w:tabs>
        <w:spacing w:before="120" w:after="120"/>
        <w:ind w:right="108"/>
        <w:outlineLvl w:val="0"/>
        <w:rPr>
          <w:rFonts w:ascii="Arial Bold" w:eastAsia="Arial Bold" w:hAnsi="Arial Bold" w:cs="Arial Bold"/>
          <w:b/>
          <w:bCs/>
          <w:lang w:val="fr-FR"/>
        </w:rPr>
      </w:pPr>
      <w:r>
        <w:rPr>
          <w:rFonts w:ascii="Arial Bold" w:eastAsia="Arial Bold" w:hAnsi="Arial Bold" w:cs="Arial Bold"/>
          <w:b/>
          <w:bCs/>
          <w:lang w:val="fr-FR"/>
        </w:rPr>
        <w:t xml:space="preserve"> 2 - Accès aux donn</w:t>
      </w:r>
      <w:r w:rsidR="001A3B17">
        <w:rPr>
          <w:rFonts w:ascii="Arial Bold" w:eastAsia="Arial Bold" w:hAnsi="Arial Bold" w:cs="Arial Bold"/>
          <w:b/>
          <w:bCs/>
          <w:lang w:val="fr-FR"/>
        </w:rPr>
        <w:t>é</w:t>
      </w:r>
      <w:r>
        <w:rPr>
          <w:rFonts w:ascii="Arial Bold" w:eastAsia="Arial Bold" w:hAnsi="Arial Bold" w:cs="Arial Bold"/>
          <w:b/>
          <w:bCs/>
          <w:lang w:val="fr-FR"/>
        </w:rPr>
        <w:t>es nominatives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Seuls des personnels autoris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accèdent aux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nominatives ou indirectement nominatives en fonction de leurs permissions d’accès : m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decins, statisticiens,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miologistes, informaticiens, techniciens ou assistants de recherche clinique au sein de la cellule de coordination nationale ou des cellules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gionales d’appui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miologique.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Les informations relatives aux droits d’accès et aux journaux d’accès sont u</w:t>
      </w:r>
      <w:r>
        <w:rPr>
          <w:noProof/>
          <w:lang w:val="en-GB" w:eastAsia="en-GB"/>
        </w:rPr>
        <w:drawing>
          <wp:anchor distT="50800" distB="50800" distL="50800" distR="50800" simplePos="0" relativeHeight="251659264" behindDoc="0" locked="0" layoutInCell="1" allowOverlap="1">
            <wp:simplePos x="0" y="0"/>
            <wp:positionH relativeFrom="page">
              <wp:posOffset>671194</wp:posOffset>
            </wp:positionH>
            <wp:positionV relativeFrom="page">
              <wp:posOffset>607059</wp:posOffset>
            </wp:positionV>
            <wp:extent cx="1206500" cy="1313815"/>
            <wp:effectExtent l="0" t="0" r="0" b="0"/>
            <wp:wrapThrough wrapText="bothSides" distL="50800" distR="50800">
              <wp:wrapPolygon edited="1">
                <wp:start x="0" y="34"/>
                <wp:lineTo x="0" y="34"/>
                <wp:lineTo x="0" y="21600"/>
                <wp:lineTo x="21600" y="21600"/>
                <wp:lineTo x="21600" y="34"/>
                <wp:lineTo x="0" y="34"/>
                <wp:lineTo x="0" y="34"/>
                <wp:lineTo x="0" y="3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  <w:lang w:val="fr-FR"/>
        </w:rPr>
        <w:t>tilis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les personnels en charge de l’administration du système pour les fonctions de 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curit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(authentification, gestion des droits, cryptage de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es et signature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lectronique) et de traçabilit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des modifications de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et de gestion des utilisateurs.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120" w:after="120"/>
        <w:ind w:left="576" w:right="105" w:hanging="576"/>
        <w:outlineLvl w:val="1"/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2.1 - Consultation, modification et partages des donn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es par les centres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Les informations nominatives produites par un professionnel authentifi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comme utilisateur autoris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lui sont accessibles pour consultation ou modification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ventuelle et pour extraction de liste; il n’accède en modification qu’aux informations concernant les malades dont il a la charge, pour la p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riode et les lieux où il les prend ou les a pris en charge (transferts de droits utilisateurs lors du transfert d’un malade vers un autre centre). Pour les patients suivis à la fois par une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quipe de dialyse et une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quipe de greffe (ex : patient dialys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en attente sur la liste nationale de greffe), certaines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de CRISTAL seront accessibles aux utilisateurs DIADEM et inversement.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120" w:after="120"/>
        <w:ind w:right="105"/>
        <w:outlineLvl w:val="1"/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2.2 - Consultation, modification et correction des donn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es dans l’application de recueil par les coordinations r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gionales ou la coordination nationale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Les informations nominatives produites à l’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chelon d’une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gion dans l’application de recueil sont accessibles pour consultation ou pour modification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ventuelle et pour extraction de liste par les personnels autoris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de la cellule de coordination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 en charge du contrôle d’exhaustivit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et de la qualit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des informations ainsi que de la valorisation des informations pour la recherche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miologique et la sant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publique.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Les informations nominatives produites sont accessibles pour consultation ou pour modification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ventuelle et </w:t>
      </w:r>
      <w:r>
        <w:rPr>
          <w:rFonts w:ascii="Arial" w:eastAsia="Arial" w:hAnsi="Arial" w:cs="Arial"/>
          <w:sz w:val="20"/>
          <w:szCs w:val="20"/>
          <w:lang w:val="fr-FR"/>
        </w:rPr>
        <w:lastRenderedPageBreak/>
        <w:t>pour extraction de liste par les personnels autoris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de la cellule de coordination nationale en charge de la qualit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des informations ainsi que de la valorisation des informations pour la recherche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miologique et la sant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publique. 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120" w:after="120"/>
        <w:ind w:left="576" w:right="105" w:hanging="576"/>
        <w:outlineLvl w:val="1"/>
        <w:rPr>
          <w:rFonts w:ascii="Arial Bold" w:eastAsia="Arial Bold" w:hAnsi="Arial Bold" w:cs="Arial Bold"/>
          <w:b/>
          <w:bCs/>
          <w:i/>
          <w:iCs/>
          <w:lang w:val="fr-FR"/>
        </w:rPr>
      </w:pPr>
      <w:r>
        <w:rPr>
          <w:rFonts w:ascii="Arial Bold" w:eastAsia="Arial Bold" w:hAnsi="Arial Bold" w:cs="Arial Bold"/>
          <w:b/>
          <w:bCs/>
          <w:i/>
          <w:iCs/>
          <w:lang w:val="fr-FR"/>
        </w:rPr>
        <w:t>3 - Exploitation des donn</w:t>
      </w:r>
      <w:r w:rsidR="001A3B17">
        <w:rPr>
          <w:rFonts w:ascii="Arial Bold" w:eastAsia="Arial Bold" w:hAnsi="Arial Bold" w:cs="Arial Bold"/>
          <w:b/>
          <w:bCs/>
          <w:i/>
          <w:iCs/>
          <w:lang w:val="fr-FR"/>
        </w:rPr>
        <w:t>é</w:t>
      </w:r>
      <w:r>
        <w:rPr>
          <w:rFonts w:ascii="Arial Bold" w:eastAsia="Arial Bold" w:hAnsi="Arial Bold" w:cs="Arial Bold"/>
          <w:b/>
          <w:bCs/>
          <w:i/>
          <w:iCs/>
          <w:lang w:val="fr-FR"/>
        </w:rPr>
        <w:t>es pour la recherche et la sant</w:t>
      </w:r>
      <w:r w:rsidR="001A3B17">
        <w:rPr>
          <w:rFonts w:ascii="Arial Bold" w:eastAsia="Arial Bold" w:hAnsi="Arial Bold" w:cs="Arial Bold"/>
          <w:b/>
          <w:bCs/>
          <w:i/>
          <w:iCs/>
          <w:lang w:val="fr-FR"/>
        </w:rPr>
        <w:t>é</w:t>
      </w:r>
      <w:r>
        <w:rPr>
          <w:rFonts w:ascii="Arial Bold" w:eastAsia="Arial Bold" w:hAnsi="Arial Bold" w:cs="Arial Bold"/>
          <w:b/>
          <w:bCs/>
          <w:i/>
          <w:iCs/>
          <w:lang w:val="fr-FR"/>
        </w:rPr>
        <w:t xml:space="preserve"> publique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80" w:after="80"/>
        <w:ind w:left="576" w:right="105" w:hanging="576"/>
        <w:outlineLvl w:val="1"/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3.1 - Traitements r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alis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s au sein de la coordination nationale: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• Les rapports et tableaux de bords 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cessitant un accès aux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nominatives ou indirectement nominatives nationales sont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alis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par la cellule de coordination nationale. Ces rapports et tableaux de bords sont approuv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et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s par le conseil scientifique du REIN. 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La contribution des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gions aux rapports annuels et tableaux de bord nationaux est un des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l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ments mat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rialisant leur participation effective au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 REIN. L'agr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gation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recueillies à l'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chelon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 avec les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issues des autres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gions, dans le cadre de l’exploitation des informations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alis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 à l'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chelon national au sein du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 REIN fait explicitement partie des termes de la convention liant une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 au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 REIN.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• Les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sans recueil compl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mentaire sont approuv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et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le conseil scientifique du REIN. Elles comportent une information des centres via les coordinations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gionales. Le consentement des centres est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tabli à l'entr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 dans le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seau, par le biais de l'accord-cadre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 et de la convention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 qui font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f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rence à la pr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sente charte de l'information. La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alisation de ce type d'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peut être confi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 à la coordination nationale par le conseil scientifique de REIN, directement ou par le biais des groupes de travail th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matiques du REIN mis en place. 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• Les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impliquant un recueil de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compl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mentaires sont approuv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et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es selon le cas par le conseil scientifique de REIN. Elles comportent un formulaire de consentement des centres investigateurs. Les responsables de ces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se chargent des formalit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glementaires relatives au traitement de l'information.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• Les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concernant la cartographie nationale de l'offre et la demande sont approuv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et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le conseil scientifique de REIN. Elles sont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alis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la coordination nationale du REIN de l'Abm, en concertation avec les relais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gionaux concern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s. Les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sultats de ces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sont accessibles de manière sym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trique aux parties prenantes concern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es. Cette disposition permet aussi de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pondre aux besoins des ARS quant à l'implantation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ventuelle de nouveaux centres impliquant plusieurs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gions.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80" w:after="80"/>
        <w:ind w:left="576" w:right="105" w:hanging="576"/>
        <w:outlineLvl w:val="1"/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3.2 - Traitements r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alis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s au sein des cellules r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gionales: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• Les rapports, tableaux de bords et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cessitant un accès aux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nominatives ou indirectement nominatives d'une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 sont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alis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es au sein de la cellule d’appui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miologique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gionale. Ces rapports, tableaux de bords et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sans recueil compl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mentaire sont pr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alablement approuv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et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par le groupe de pilotage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gional. 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• Le consentement des centres à ce type d'exploitation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es est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tabli à l'entr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 dans le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seau, par le biais de l'accord cadre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 qui, notamment, confie au groupe de pilotage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 la responsabilit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d'arbitrer ce type d'exploitation et le p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rimètre de diffusion de ces documents. 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• Les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impliquant un recueil de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compl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mentaires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gionales sont approuv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et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le groupe de pilotage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 concern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. Elles comportent un formulaire de consentement des centres investigateurs. Les promoteurs de ces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se chargent des formalit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glementaires relatives au traitement de l'information.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• Les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concernant la cartographie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 de l'offre et la demande sont approuv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et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le groupe de pilotage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 concern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. Elles sont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alis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la coordination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 ou à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faut par la coordination nationale du REIN, en concertation avec le relais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 concern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. Les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sultats de ces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sont accessibles de manière sym</w:t>
      </w:r>
      <w:bookmarkStart w:id="0" w:name="_GoBack"/>
      <w:bookmarkEnd w:id="0"/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trique aux parties prenantes concern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es. Cette disposition permet aussi de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pondre aux besoins des ARS quant à l'implantation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ventuelle de nouveaux centres n'impliquant pas d'autres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gions.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• Une cellule d'appui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miologique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 peut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poser un projet de recherche dans le cadre de la proc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dure d'appel d'offres recherche du REIN ou se voir confier par le conseil scientifique du REIN la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alisation d'une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 sur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nationales.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80" w:after="80"/>
        <w:ind w:left="576" w:right="105" w:hanging="576"/>
        <w:outlineLvl w:val="1"/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3.3 - Traitements r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alis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s en dehors des cellules r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gionales et de la coordination nationale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• L'accès à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est possible dans le cadre de projets d'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 ou de recherche après accord formel du conseil scientifique. Ces projets relèvent principalement de l'appel d'offres recherche du REIN. En cas de recueil de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compl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mentaires, le projet d'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 ou de recherche comporte un formulaire de consentement des centres investigateurs. Ils se conforment aux règles de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ontologie et de bonnes pratiques relatives au traitement de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m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dicales. Le traitement de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nominatives est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alis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en conformit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lang w:val="fr-FR"/>
        </w:rPr>
        <w:lastRenderedPageBreak/>
        <w:t>avec les dispositions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glementaires. Toute utilisation ou cession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du REIN hors du cadre de l'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 pour laquelle les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es ont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transmises est interdite.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• Certaines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seront transmises au registre europ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en (ERA-EDTA Registry) et au registre am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ricain (USRDS) afin de permettre l’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laboration de tableaux descriptifs et comparatifs internationaux.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• Les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recueillies par les professionnels leur sont accessibles, y compris sous forme de listes nominatives.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80" w:after="80"/>
        <w:ind w:left="576" w:right="105" w:hanging="576"/>
        <w:outlineLvl w:val="1"/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3.4 - Traitements r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alis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 xml:space="preserve">s au profit des centres et des 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quipes de professionnels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En dehors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es rendues publiques, toute demande d'information sur un centre ou une 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quipe est redirig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 sur le centre. La coordination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gionale, ou à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faut la coordination nationale, est à la disposition des centres qui en feraient la demande pour pr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parer les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et les tableaux de bords ad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quats puis les retourner au demandeur.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972"/>
          <w:tab w:val="left" w:pos="6972"/>
          <w:tab w:val="left" w:pos="6972"/>
          <w:tab w:val="left" w:pos="6972"/>
        </w:tabs>
        <w:spacing w:before="120" w:after="120"/>
        <w:ind w:right="108"/>
        <w:outlineLvl w:val="0"/>
        <w:rPr>
          <w:rFonts w:ascii="Arial Bold" w:eastAsia="Arial Bold" w:hAnsi="Arial Bold" w:cs="Arial Bold"/>
          <w:b/>
          <w:bCs/>
          <w:lang w:val="fr-FR"/>
        </w:rPr>
      </w:pPr>
      <w:r>
        <w:rPr>
          <w:rFonts w:ascii="Arial Bold" w:eastAsia="Arial Bold" w:hAnsi="Arial Bold" w:cs="Arial Bold"/>
          <w:b/>
          <w:bCs/>
          <w:lang w:val="fr-FR"/>
        </w:rPr>
        <w:t xml:space="preserve"> 4 - Publications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80" w:after="80"/>
        <w:ind w:left="576" w:right="105" w:hanging="576"/>
        <w:outlineLvl w:val="1"/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4.1 - Publication des informations agr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g</w:t>
      </w:r>
      <w:r w:rsidR="001A3B17"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é</w:t>
      </w: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es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agr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es, excluant toute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 nominative ou indirectement nominative, sont publi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sous la forme de tableaux de bords ou figures, de rapport d’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tudes sp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cifiques et d’un rapport annuel,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les GPIL concern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Les publications s’appuyant sur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nationales sont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le GPIL national du REIN qui en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cide les modalit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 de diffusion. Les publications s’appuyant sur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gionales sont valid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par le GPIL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gional qui en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cide les modalit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s de diffusion. 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 Italic" w:eastAsia="Arial Italic" w:hAnsi="Arial Italic" w:cs="Arial Italic"/>
          <w:i/>
          <w:iCs/>
          <w:sz w:val="20"/>
          <w:szCs w:val="20"/>
          <w:lang w:val="fr-FR"/>
        </w:rPr>
      </w:pPr>
      <w:r>
        <w:rPr>
          <w:rFonts w:ascii="Arial Italic" w:eastAsia="Arial Italic" w:hAnsi="Arial Italic" w:cs="Arial Italic"/>
          <w:i/>
          <w:iCs/>
          <w:sz w:val="20"/>
          <w:szCs w:val="20"/>
          <w:lang w:val="fr-FR"/>
        </w:rPr>
        <w:t>NB: La publication d'un rapport r</w:t>
      </w:r>
      <w:r w:rsidR="001A3B17">
        <w:rPr>
          <w:rFonts w:ascii="Arial Italic" w:eastAsia="Arial Italic" w:hAnsi="Arial Italic" w:cs="Arial Italic"/>
          <w:i/>
          <w:iCs/>
          <w:sz w:val="20"/>
          <w:szCs w:val="20"/>
          <w:lang w:val="fr-FR"/>
        </w:rPr>
        <w:t>é</w:t>
      </w:r>
      <w:r>
        <w:rPr>
          <w:rFonts w:ascii="Arial Italic" w:eastAsia="Arial Italic" w:hAnsi="Arial Italic" w:cs="Arial Italic"/>
          <w:i/>
          <w:iCs/>
          <w:sz w:val="20"/>
          <w:szCs w:val="20"/>
          <w:lang w:val="fr-FR"/>
        </w:rPr>
        <w:t>gional figure dans les conventions r</w:t>
      </w:r>
      <w:r w:rsidR="001A3B17">
        <w:rPr>
          <w:rFonts w:ascii="Arial Italic" w:eastAsia="Arial Italic" w:hAnsi="Arial Italic" w:cs="Arial Italic"/>
          <w:i/>
          <w:iCs/>
          <w:sz w:val="20"/>
          <w:szCs w:val="20"/>
          <w:lang w:val="fr-FR"/>
        </w:rPr>
        <w:t>é</w:t>
      </w:r>
      <w:r>
        <w:rPr>
          <w:rFonts w:ascii="Arial Italic" w:eastAsia="Arial Italic" w:hAnsi="Arial Italic" w:cs="Arial Italic"/>
          <w:i/>
          <w:iCs/>
          <w:sz w:val="20"/>
          <w:szCs w:val="20"/>
          <w:lang w:val="fr-FR"/>
        </w:rPr>
        <w:t>gionales.</w:t>
      </w:r>
    </w:p>
    <w:p w:rsidR="00F04588" w:rsidRDefault="00EF1945">
      <w:pPr>
        <w:keepNext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32"/>
          <w:tab w:val="left" w:pos="7032"/>
          <w:tab w:val="left" w:pos="7032"/>
          <w:tab w:val="left" w:pos="7032"/>
        </w:tabs>
        <w:spacing w:before="80" w:after="80"/>
        <w:ind w:left="576" w:right="105" w:hanging="576"/>
        <w:outlineLvl w:val="1"/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 xml:space="preserve"> 4.2 - Publications scientifiques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La politique scientifique du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 relève de son conseil scientifique. Tous les partenaires du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 conviennent de respecter les bonnes pratiques en vigueur concernant les règles relatives aux signataires.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Toute publication s'appuyant sur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recueillies dans le cadre du REIN fait obligatoirement mention de REIN et du nom de l'Agence de la biom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decine en tant que support institutionnel du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seau. 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Les projets de publication exposant les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sultats des projets de recherche sont transmis au conseil scientifique de REIN qui, par l'interm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diaire de son bureau, dispose d’un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lai de quatre semaines pour donner son avis consultatif et indiquer la mention qui devra apparaître dans la publication concernant sa position: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- travail publi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avec le soutien du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seau Epid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miologie et Information en 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phrologie,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- travail publi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à partir des donn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es du registre du REIN, sous la responsabilit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de ses auteurs.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A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faut de r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ponse intervenue dans ce d</w:t>
      </w:r>
      <w:r w:rsidR="001A3B17">
        <w:rPr>
          <w:rFonts w:ascii="Arial" w:eastAsia="Arial" w:hAnsi="Arial" w:cs="Arial"/>
          <w:sz w:val="20"/>
          <w:szCs w:val="20"/>
          <w:lang w:val="fr-FR"/>
        </w:rPr>
        <w:t>é</w:t>
      </w:r>
      <w:r>
        <w:rPr>
          <w:rFonts w:ascii="Arial" w:eastAsia="Arial" w:hAnsi="Arial" w:cs="Arial"/>
          <w:sz w:val="20"/>
          <w:szCs w:val="20"/>
          <w:lang w:val="fr-FR"/>
        </w:rPr>
        <w:t>lai, la publication pourra avoir lieu.</w:t>
      </w:r>
    </w:p>
    <w:p w:rsidR="00F04588" w:rsidRDefault="00F0458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lang w:val="fr-FR"/>
        </w:rPr>
      </w:pPr>
    </w:p>
    <w:p w:rsidR="00F04588" w:rsidRPr="00C5087E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lang w:val="fr-FR"/>
        </w:rPr>
      </w:pPr>
      <w:r>
        <w:rPr>
          <w:rFonts w:ascii="Arial Bold Italic" w:eastAsia="Arial Bold Italic" w:hAnsi="Arial Bold Italic" w:cs="Arial Bold Italic"/>
          <w:b/>
          <w:bCs/>
          <w:i/>
          <w:iCs/>
          <w:sz w:val="20"/>
          <w:szCs w:val="20"/>
          <w:lang w:val="fr-FR"/>
        </w:rPr>
        <w:t>4.3 - Règles de signature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u w:color="1049BC"/>
          <w:lang w:val="fr-FR"/>
        </w:rPr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Les projets de publication dans des revues scientifiques s'appuyant sur les donn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es nationales recueillies dans le cadre du REIN int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greront comme coauteurs au moins deux membre du Groupe de Pilotage REIN ou du Conseil Scientifique REIN.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u w:color="1049BC"/>
          <w:lang w:val="fr-FR"/>
        </w:rPr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Le bureau du conseil scientifique sera charg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 xml:space="preserve"> de v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rifier l'accès à tour de rôle de ces membres au statut de coauteurs afin de garantir l'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quit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 xml:space="preserve"> et la pertinence.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u w:color="1049BC"/>
          <w:lang w:val="fr-FR"/>
        </w:rPr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En lien avec les porteurs de projets de publication, le bureau du conseil scientifique se chargera de les d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signer et de les solliciter.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u w:color="1049BC"/>
          <w:lang w:val="fr-FR"/>
        </w:rPr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Les co-auteurs disposeront d'un d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lai de deux semaines pour donner leur accord explicite.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u w:color="1049BC"/>
          <w:lang w:val="fr-FR"/>
        </w:rPr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Les publications seront distingu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es en trois cat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gories :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u w:color="1049BC"/>
          <w:lang w:val="fr-FR"/>
        </w:rPr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- les articles du rapport national annuel REIN : les coauteurs seront d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sign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s par le CS REIN lors de la phase de pr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paration du rapport annuel afin de les int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grer dans le choix des indicateurs et la r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daction des textes;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u w:color="1049BC"/>
          <w:lang w:val="fr-FR"/>
        </w:rPr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- les articles originaux r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alis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s essentiellement ou exclusivement à partir de donn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es nationales du registre : les coauteurs seront d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sign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s à un stade pr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coce du processus afin de les int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grer, au minimum, dans la phase d'interpr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tation des r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sultats.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  <w:rPr>
          <w:rFonts w:ascii="Arial" w:eastAsia="Arial" w:hAnsi="Arial" w:cs="Arial"/>
          <w:sz w:val="20"/>
          <w:szCs w:val="20"/>
          <w:u w:color="1049BC"/>
          <w:lang w:val="fr-FR"/>
        </w:rPr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 </w:t>
      </w:r>
    </w:p>
    <w:p w:rsidR="00F04588" w:rsidRDefault="00EF194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60" w:after="60"/>
        <w:jc w:val="both"/>
        <w:outlineLvl w:val="0"/>
      </w:pPr>
      <w:r>
        <w:rPr>
          <w:rFonts w:ascii="Arial" w:eastAsia="Arial" w:hAnsi="Arial" w:cs="Arial"/>
          <w:sz w:val="20"/>
          <w:szCs w:val="20"/>
          <w:u w:color="1049BC"/>
          <w:lang w:val="fr-FR"/>
        </w:rPr>
        <w:t>L'ensemble des n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 xml:space="preserve">phrologues et des 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pid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miologistes du r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seau REIN sera cit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 xml:space="preserve"> dans la liste des </w:t>
      </w:r>
      <w:proofErr w:type="spellStart"/>
      <w:r>
        <w:rPr>
          <w:rFonts w:ascii="Arial" w:eastAsia="Arial" w:hAnsi="Arial" w:cs="Arial"/>
          <w:sz w:val="20"/>
          <w:szCs w:val="20"/>
          <w:u w:color="1049BC"/>
          <w:lang w:val="fr-FR"/>
        </w:rPr>
        <w:t>co</w:t>
      </w:r>
      <w:proofErr w:type="spellEnd"/>
      <w:r>
        <w:rPr>
          <w:rFonts w:ascii="Arial" w:eastAsia="Arial" w:hAnsi="Arial" w:cs="Arial"/>
          <w:sz w:val="20"/>
          <w:szCs w:val="20"/>
          <w:u w:color="1049BC"/>
          <w:lang w:val="fr-FR"/>
        </w:rPr>
        <w:t xml:space="preserve"> investigateurs pour les revues qui le permettent ; à d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>faut, dans les remerciements sera indiqu</w:t>
      </w:r>
      <w:r w:rsidR="001A3B17">
        <w:rPr>
          <w:rFonts w:ascii="Arial" w:eastAsia="Arial" w:hAnsi="Arial" w:cs="Arial"/>
          <w:sz w:val="20"/>
          <w:szCs w:val="20"/>
          <w:u w:color="1049BC"/>
          <w:lang w:val="fr-FR"/>
        </w:rPr>
        <w:t>é</w:t>
      </w:r>
      <w:r>
        <w:rPr>
          <w:rFonts w:ascii="Arial" w:eastAsia="Arial" w:hAnsi="Arial" w:cs="Arial"/>
          <w:sz w:val="20"/>
          <w:szCs w:val="20"/>
          <w:u w:color="1049BC"/>
          <w:lang w:val="fr-FR"/>
        </w:rPr>
        <w:t xml:space="preserve"> le lien vers la liste des centres participants figurant dans le rapport annuel.</w:t>
      </w:r>
      <w:r>
        <w:rPr>
          <w:rFonts w:ascii="Arial" w:eastAsia="Arial" w:hAnsi="Arial" w:cs="Arial"/>
          <w:noProof/>
          <w:sz w:val="20"/>
          <w:szCs w:val="20"/>
          <w:u w:color="1049BC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2101646</wp:posOffset>
                </wp:positionH>
                <wp:positionV relativeFrom="line">
                  <wp:posOffset>214289</wp:posOffset>
                </wp:positionV>
                <wp:extent cx="1919377" cy="0"/>
                <wp:effectExtent l="0" t="0" r="0" b="0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93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65.5pt;margin-top:16.9pt;width:151.1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/>
                <w10:wrap type="through" side="bothSides" anchorx="margin"/>
              </v:line>
            </w:pict>
          </mc:Fallback>
        </mc:AlternateContent>
      </w:r>
    </w:p>
    <w:sectPr w:rsidR="00F04588" w:rsidSect="00641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717" w:left="1134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D3" w:rsidRDefault="00EF1945">
      <w:r>
        <w:separator/>
      </w:r>
    </w:p>
  </w:endnote>
  <w:endnote w:type="continuationSeparator" w:id="0">
    <w:p w:rsidR="00B370D3" w:rsidRDefault="00EF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charset w:val="00"/>
    <w:family w:val="roman"/>
    <w:pitch w:val="default"/>
  </w:font>
  <w:font w:name="Arial Bold Italic">
    <w:altName w:val="Times New Roman"/>
    <w:charset w:val="00"/>
    <w:family w:val="roman"/>
    <w:pitch w:val="default"/>
  </w:font>
  <w:font w:name="Arial Itali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88" w:rsidRDefault="00EF1945">
    <w:pPr>
      <w:widowControl w:val="0"/>
      <w:tabs>
        <w:tab w:val="center" w:pos="4818"/>
        <w:tab w:val="right" w:pos="9612"/>
      </w:tabs>
      <w:outlineLvl w:val="0"/>
    </w:pPr>
    <w:r>
      <w:rPr>
        <w:rFonts w:ascii="Arial" w:eastAsia="Arial" w:hAnsi="Arial" w:cs="Arial"/>
        <w:sz w:val="16"/>
        <w:szCs w:val="16"/>
        <w:lang w:val="fr-FR"/>
      </w:rPr>
      <w:t>Charte de l'information v4.1</w:t>
    </w:r>
    <w:r>
      <w:rPr>
        <w:rFonts w:ascii="Arial" w:eastAsia="Arial" w:hAnsi="Arial" w:cs="Arial"/>
        <w:sz w:val="16"/>
        <w:szCs w:val="16"/>
        <w:lang w:val="fr-FR"/>
      </w:rPr>
      <w:tab/>
      <w:t>octobre 2013</w:t>
    </w:r>
    <w:r>
      <w:rPr>
        <w:rFonts w:ascii="Arial" w:eastAsia="Arial" w:hAnsi="Arial" w:cs="Arial"/>
        <w:sz w:val="16"/>
        <w:szCs w:val="16"/>
        <w:lang w:val="fr-FR"/>
      </w:rPr>
      <w:tab/>
    </w:r>
    <w:r>
      <w:rPr>
        <w:rFonts w:ascii="Arial" w:eastAsia="Arial" w:hAnsi="Arial" w:cs="Arial"/>
        <w:sz w:val="16"/>
        <w:szCs w:val="16"/>
        <w:lang w:val="fr-FR"/>
      </w:rPr>
      <w:fldChar w:fldCharType="begin"/>
    </w:r>
    <w:r>
      <w:rPr>
        <w:rFonts w:ascii="Arial" w:eastAsia="Arial" w:hAnsi="Arial" w:cs="Arial"/>
        <w:sz w:val="16"/>
        <w:szCs w:val="16"/>
        <w:lang w:val="fr-FR"/>
      </w:rPr>
      <w:instrText xml:space="preserve"> PAGE </w:instrText>
    </w:r>
    <w:r>
      <w:rPr>
        <w:rFonts w:ascii="Arial" w:eastAsia="Arial" w:hAnsi="Arial" w:cs="Arial"/>
        <w:sz w:val="16"/>
        <w:szCs w:val="16"/>
        <w:lang w:val="fr-FR"/>
      </w:rPr>
      <w:fldChar w:fldCharType="separate"/>
    </w:r>
    <w:r w:rsidR="00C5087E">
      <w:rPr>
        <w:rFonts w:ascii="Arial" w:eastAsia="Arial" w:hAnsi="Arial" w:cs="Arial"/>
        <w:noProof/>
        <w:sz w:val="16"/>
        <w:szCs w:val="16"/>
        <w:lang w:val="fr-FR"/>
      </w:rPr>
      <w:t>2</w:t>
    </w:r>
    <w:r>
      <w:rPr>
        <w:rFonts w:ascii="Arial" w:eastAsia="Arial" w:hAnsi="Arial" w:cs="Arial"/>
        <w:sz w:val="16"/>
        <w:szCs w:val="16"/>
        <w:lang w:val="fr-FR"/>
      </w:rPr>
      <w:fldChar w:fldCharType="end"/>
    </w:r>
    <w:r>
      <w:rPr>
        <w:rFonts w:ascii="Arial" w:eastAsia="Arial" w:hAnsi="Arial" w:cs="Arial"/>
        <w:sz w:val="16"/>
        <w:szCs w:val="16"/>
        <w:lang w:val="fr-FR"/>
      </w:rPr>
      <w:t>/</w:t>
    </w:r>
    <w:r>
      <w:rPr>
        <w:rFonts w:ascii="Arial" w:eastAsia="Arial" w:hAnsi="Arial" w:cs="Arial"/>
        <w:sz w:val="16"/>
        <w:szCs w:val="16"/>
        <w:lang w:val="fr-FR"/>
      </w:rPr>
      <w:fldChar w:fldCharType="begin"/>
    </w:r>
    <w:r>
      <w:rPr>
        <w:rFonts w:ascii="Arial" w:eastAsia="Arial" w:hAnsi="Arial" w:cs="Arial"/>
        <w:sz w:val="16"/>
        <w:szCs w:val="16"/>
        <w:lang w:val="fr-FR"/>
      </w:rPr>
      <w:instrText xml:space="preserve"> NUMPAGES </w:instrText>
    </w:r>
    <w:r>
      <w:rPr>
        <w:rFonts w:ascii="Arial" w:eastAsia="Arial" w:hAnsi="Arial" w:cs="Arial"/>
        <w:sz w:val="16"/>
        <w:szCs w:val="16"/>
        <w:lang w:val="fr-FR"/>
      </w:rPr>
      <w:fldChar w:fldCharType="separate"/>
    </w:r>
    <w:r w:rsidR="00C5087E">
      <w:rPr>
        <w:rFonts w:ascii="Arial" w:eastAsia="Arial" w:hAnsi="Arial" w:cs="Arial"/>
        <w:noProof/>
        <w:sz w:val="16"/>
        <w:szCs w:val="16"/>
        <w:lang w:val="fr-FR"/>
      </w:rPr>
      <w:t>4</w:t>
    </w:r>
    <w:r>
      <w:rPr>
        <w:rFonts w:ascii="Arial" w:eastAsia="Arial" w:hAnsi="Arial" w:cs="Arial"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88" w:rsidRDefault="00EF1945">
    <w:pPr>
      <w:widowControl w:val="0"/>
      <w:tabs>
        <w:tab w:val="center" w:pos="4818"/>
        <w:tab w:val="right" w:pos="9612"/>
      </w:tabs>
      <w:outlineLvl w:val="0"/>
    </w:pPr>
    <w:r>
      <w:rPr>
        <w:rFonts w:ascii="Arial" w:eastAsia="Arial" w:hAnsi="Arial" w:cs="Arial"/>
        <w:sz w:val="16"/>
        <w:szCs w:val="16"/>
        <w:lang w:val="fr-FR"/>
      </w:rPr>
      <w:t xml:space="preserve">Charte de l'information </w:t>
    </w:r>
    <w:r w:rsidR="00C5087E">
      <w:rPr>
        <w:rFonts w:ascii="Arial" w:eastAsia="Arial" w:hAnsi="Arial" w:cs="Arial"/>
        <w:sz w:val="16"/>
        <w:szCs w:val="16"/>
        <w:lang w:val="fr-FR"/>
      </w:rPr>
      <w:t>v5.0</w:t>
    </w:r>
    <w:r>
      <w:rPr>
        <w:rFonts w:ascii="Arial" w:eastAsia="Arial" w:hAnsi="Arial" w:cs="Arial"/>
        <w:sz w:val="16"/>
        <w:szCs w:val="16"/>
        <w:lang w:val="fr-FR"/>
      </w:rPr>
      <w:tab/>
    </w:r>
    <w:r w:rsidR="00C5087E">
      <w:rPr>
        <w:rFonts w:ascii="Arial" w:eastAsia="Arial" w:hAnsi="Arial" w:cs="Arial"/>
        <w:sz w:val="16"/>
        <w:szCs w:val="16"/>
        <w:lang w:val="fr-FR"/>
      </w:rPr>
      <w:t>novembre 2018</w:t>
    </w:r>
    <w:r>
      <w:rPr>
        <w:rFonts w:ascii="Arial" w:eastAsia="Arial" w:hAnsi="Arial" w:cs="Arial"/>
        <w:sz w:val="16"/>
        <w:szCs w:val="16"/>
        <w:lang w:val="fr-FR"/>
      </w:rPr>
      <w:tab/>
    </w:r>
    <w:r>
      <w:rPr>
        <w:rFonts w:ascii="Arial" w:eastAsia="Arial" w:hAnsi="Arial" w:cs="Arial"/>
        <w:sz w:val="16"/>
        <w:szCs w:val="16"/>
        <w:lang w:val="fr-FR"/>
      </w:rPr>
      <w:fldChar w:fldCharType="begin"/>
    </w:r>
    <w:r>
      <w:rPr>
        <w:rFonts w:ascii="Arial" w:eastAsia="Arial" w:hAnsi="Arial" w:cs="Arial"/>
        <w:sz w:val="16"/>
        <w:szCs w:val="16"/>
        <w:lang w:val="fr-FR"/>
      </w:rPr>
      <w:instrText xml:space="preserve"> PAGE </w:instrText>
    </w:r>
    <w:r>
      <w:rPr>
        <w:rFonts w:ascii="Arial" w:eastAsia="Arial" w:hAnsi="Arial" w:cs="Arial"/>
        <w:sz w:val="16"/>
        <w:szCs w:val="16"/>
        <w:lang w:val="fr-FR"/>
      </w:rPr>
      <w:fldChar w:fldCharType="separate"/>
    </w:r>
    <w:r w:rsidR="00D62C14">
      <w:rPr>
        <w:rFonts w:ascii="Arial" w:eastAsia="Arial" w:hAnsi="Arial" w:cs="Arial"/>
        <w:noProof/>
        <w:sz w:val="16"/>
        <w:szCs w:val="16"/>
        <w:lang w:val="fr-FR"/>
      </w:rPr>
      <w:t>3</w:t>
    </w:r>
    <w:r>
      <w:rPr>
        <w:rFonts w:ascii="Arial" w:eastAsia="Arial" w:hAnsi="Arial" w:cs="Arial"/>
        <w:sz w:val="16"/>
        <w:szCs w:val="16"/>
        <w:lang w:val="fr-FR"/>
      </w:rPr>
      <w:fldChar w:fldCharType="end"/>
    </w:r>
    <w:r>
      <w:rPr>
        <w:rFonts w:ascii="Arial" w:eastAsia="Arial" w:hAnsi="Arial" w:cs="Arial"/>
        <w:sz w:val="16"/>
        <w:szCs w:val="16"/>
        <w:lang w:val="fr-FR"/>
      </w:rPr>
      <w:t>/</w:t>
    </w:r>
    <w:r>
      <w:rPr>
        <w:rFonts w:ascii="Arial" w:eastAsia="Arial" w:hAnsi="Arial" w:cs="Arial"/>
        <w:sz w:val="16"/>
        <w:szCs w:val="16"/>
        <w:lang w:val="fr-FR"/>
      </w:rPr>
      <w:fldChar w:fldCharType="begin"/>
    </w:r>
    <w:r>
      <w:rPr>
        <w:rFonts w:ascii="Arial" w:eastAsia="Arial" w:hAnsi="Arial" w:cs="Arial"/>
        <w:sz w:val="16"/>
        <w:szCs w:val="16"/>
        <w:lang w:val="fr-FR"/>
      </w:rPr>
      <w:instrText xml:space="preserve"> NUMPAGES </w:instrText>
    </w:r>
    <w:r>
      <w:rPr>
        <w:rFonts w:ascii="Arial" w:eastAsia="Arial" w:hAnsi="Arial" w:cs="Arial"/>
        <w:sz w:val="16"/>
        <w:szCs w:val="16"/>
        <w:lang w:val="fr-FR"/>
      </w:rPr>
      <w:fldChar w:fldCharType="separate"/>
    </w:r>
    <w:r w:rsidR="00D62C14">
      <w:rPr>
        <w:rFonts w:ascii="Arial" w:eastAsia="Arial" w:hAnsi="Arial" w:cs="Arial"/>
        <w:noProof/>
        <w:sz w:val="16"/>
        <w:szCs w:val="16"/>
        <w:lang w:val="fr-FR"/>
      </w:rPr>
      <w:t>3</w:t>
    </w:r>
    <w:r>
      <w:rPr>
        <w:rFonts w:ascii="Arial" w:eastAsia="Arial" w:hAnsi="Arial" w:cs="Arial"/>
        <w:sz w:val="16"/>
        <w:szCs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E" w:rsidRDefault="00C508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D3" w:rsidRDefault="00EF1945">
      <w:r>
        <w:separator/>
      </w:r>
    </w:p>
  </w:footnote>
  <w:footnote w:type="continuationSeparator" w:id="0">
    <w:p w:rsidR="00B370D3" w:rsidRDefault="00EF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88" w:rsidRDefault="00F045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88" w:rsidRDefault="00F045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E" w:rsidRDefault="00C508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1F5"/>
    <w:multiLevelType w:val="multilevel"/>
    <w:tmpl w:val="1B9A6424"/>
    <w:lvl w:ilvl="0">
      <w:start w:val="1"/>
      <w:numFmt w:val="bullet"/>
      <w:lvlText w:val="–"/>
      <w:lvlJc w:val="left"/>
      <w:rPr>
        <w:position w:val="0"/>
      </w:rPr>
    </w:lvl>
    <w:lvl w:ilvl="1">
      <w:start w:val="1"/>
      <w:numFmt w:val="bullet"/>
      <w:lvlText w:val="–"/>
      <w:lvlJc w:val="left"/>
      <w:rPr>
        <w:position w:val="0"/>
      </w:rPr>
    </w:lvl>
    <w:lvl w:ilvl="2">
      <w:start w:val="1"/>
      <w:numFmt w:val="bullet"/>
      <w:lvlText w:val="–"/>
      <w:lvlJc w:val="left"/>
      <w:rPr>
        <w:position w:val="0"/>
      </w:rPr>
    </w:lvl>
    <w:lvl w:ilvl="3">
      <w:start w:val="1"/>
      <w:numFmt w:val="bullet"/>
      <w:lvlText w:val="–"/>
      <w:lvlJc w:val="left"/>
      <w:rPr>
        <w:position w:val="0"/>
      </w:rPr>
    </w:lvl>
    <w:lvl w:ilvl="4">
      <w:start w:val="1"/>
      <w:numFmt w:val="bullet"/>
      <w:lvlText w:val="–"/>
      <w:lvlJc w:val="left"/>
      <w:rPr>
        <w:position w:val="0"/>
      </w:rPr>
    </w:lvl>
    <w:lvl w:ilvl="5">
      <w:start w:val="1"/>
      <w:numFmt w:val="bullet"/>
      <w:lvlText w:val="–"/>
      <w:lvlJc w:val="left"/>
      <w:rPr>
        <w:position w:val="0"/>
      </w:rPr>
    </w:lvl>
    <w:lvl w:ilvl="6">
      <w:start w:val="1"/>
      <w:numFmt w:val="bullet"/>
      <w:lvlText w:val="–"/>
      <w:lvlJc w:val="left"/>
      <w:rPr>
        <w:position w:val="0"/>
      </w:rPr>
    </w:lvl>
    <w:lvl w:ilvl="7">
      <w:start w:val="1"/>
      <w:numFmt w:val="bullet"/>
      <w:lvlText w:val="–"/>
      <w:lvlJc w:val="left"/>
      <w:rPr>
        <w:position w:val="0"/>
      </w:rPr>
    </w:lvl>
    <w:lvl w:ilvl="8">
      <w:start w:val="1"/>
      <w:numFmt w:val="bullet"/>
      <w:lvlText w:val="–"/>
      <w:lvlJc w:val="left"/>
      <w:rPr>
        <w:position w:val="0"/>
      </w:rPr>
    </w:lvl>
  </w:abstractNum>
  <w:abstractNum w:abstractNumId="1" w15:restartNumberingAfterBreak="0">
    <w:nsid w:val="25270C57"/>
    <w:multiLevelType w:val="multilevel"/>
    <w:tmpl w:val="0E9E0260"/>
    <w:styleLink w:val="List0"/>
    <w:lvl w:ilvl="0">
      <w:numFmt w:val="bullet"/>
      <w:lvlText w:val="–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fr-FR"/>
      </w:rPr>
    </w:lvl>
    <w:lvl w:ilvl="1">
      <w:start w:val="1"/>
      <w:numFmt w:val="bullet"/>
      <w:lvlText w:val="–"/>
      <w:lvlJc w:val="left"/>
      <w:pPr>
        <w:tabs>
          <w:tab w:val="num" w:pos="503"/>
        </w:tabs>
        <w:ind w:left="5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2">
      <w:start w:val="1"/>
      <w:numFmt w:val="bullet"/>
      <w:lvlText w:val="–"/>
      <w:lvlJc w:val="left"/>
      <w:pPr>
        <w:tabs>
          <w:tab w:val="num" w:pos="786"/>
        </w:tabs>
        <w:ind w:left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3">
      <w:start w:val="1"/>
      <w:numFmt w:val="bullet"/>
      <w:lvlText w:val="–"/>
      <w:lvlJc w:val="left"/>
      <w:pPr>
        <w:tabs>
          <w:tab w:val="num" w:pos="1069"/>
        </w:tabs>
        <w:ind w:left="10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4">
      <w:start w:val="1"/>
      <w:numFmt w:val="bullet"/>
      <w:lvlText w:val="–"/>
      <w:lvlJc w:val="left"/>
      <w:pPr>
        <w:tabs>
          <w:tab w:val="num" w:pos="1352"/>
        </w:tabs>
        <w:ind w:left="13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5">
      <w:start w:val="1"/>
      <w:numFmt w:val="bullet"/>
      <w:lvlText w:val="–"/>
      <w:lvlJc w:val="left"/>
      <w:pPr>
        <w:tabs>
          <w:tab w:val="num" w:pos="1635"/>
        </w:tabs>
        <w:ind w:left="1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6">
      <w:start w:val="1"/>
      <w:numFmt w:val="bullet"/>
      <w:lvlText w:val="–"/>
      <w:lvlJc w:val="left"/>
      <w:pPr>
        <w:tabs>
          <w:tab w:val="num" w:pos="1918"/>
        </w:tabs>
        <w:ind w:left="19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7">
      <w:start w:val="1"/>
      <w:numFmt w:val="bullet"/>
      <w:lvlText w:val="–"/>
      <w:lvlJc w:val="left"/>
      <w:pPr>
        <w:tabs>
          <w:tab w:val="num" w:pos="2201"/>
        </w:tabs>
        <w:ind w:left="22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8">
      <w:start w:val="1"/>
      <w:numFmt w:val="bullet"/>
      <w:lvlText w:val="–"/>
      <w:lvlJc w:val="left"/>
      <w:pPr>
        <w:tabs>
          <w:tab w:val="num" w:pos="2484"/>
        </w:tabs>
        <w:ind w:left="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</w:abstractNum>
  <w:abstractNum w:abstractNumId="2" w15:restartNumberingAfterBreak="0">
    <w:nsid w:val="63F62F5B"/>
    <w:multiLevelType w:val="multilevel"/>
    <w:tmpl w:val="DFE63798"/>
    <w:lvl w:ilvl="0">
      <w:start w:val="1"/>
      <w:numFmt w:val="bullet"/>
      <w:lvlText w:val="–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1">
      <w:start w:val="1"/>
      <w:numFmt w:val="bullet"/>
      <w:lvlText w:val="–"/>
      <w:lvlJc w:val="left"/>
      <w:pPr>
        <w:tabs>
          <w:tab w:val="num" w:pos="503"/>
        </w:tabs>
        <w:ind w:left="5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2">
      <w:start w:val="1"/>
      <w:numFmt w:val="bullet"/>
      <w:lvlText w:val="–"/>
      <w:lvlJc w:val="left"/>
      <w:pPr>
        <w:tabs>
          <w:tab w:val="num" w:pos="786"/>
        </w:tabs>
        <w:ind w:left="7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3">
      <w:start w:val="1"/>
      <w:numFmt w:val="bullet"/>
      <w:lvlText w:val="–"/>
      <w:lvlJc w:val="left"/>
      <w:pPr>
        <w:tabs>
          <w:tab w:val="num" w:pos="1069"/>
        </w:tabs>
        <w:ind w:left="10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4">
      <w:start w:val="1"/>
      <w:numFmt w:val="bullet"/>
      <w:lvlText w:val="–"/>
      <w:lvlJc w:val="left"/>
      <w:pPr>
        <w:tabs>
          <w:tab w:val="num" w:pos="1352"/>
        </w:tabs>
        <w:ind w:left="13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5">
      <w:start w:val="1"/>
      <w:numFmt w:val="bullet"/>
      <w:lvlText w:val="–"/>
      <w:lvlJc w:val="left"/>
      <w:pPr>
        <w:tabs>
          <w:tab w:val="num" w:pos="1635"/>
        </w:tabs>
        <w:ind w:left="1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6">
      <w:start w:val="1"/>
      <w:numFmt w:val="bullet"/>
      <w:lvlText w:val="–"/>
      <w:lvlJc w:val="left"/>
      <w:pPr>
        <w:tabs>
          <w:tab w:val="num" w:pos="1918"/>
        </w:tabs>
        <w:ind w:left="19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7">
      <w:start w:val="1"/>
      <w:numFmt w:val="bullet"/>
      <w:lvlText w:val="–"/>
      <w:lvlJc w:val="left"/>
      <w:pPr>
        <w:tabs>
          <w:tab w:val="num" w:pos="2201"/>
        </w:tabs>
        <w:ind w:left="22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  <w:lvl w:ilvl="8">
      <w:start w:val="1"/>
      <w:numFmt w:val="bullet"/>
      <w:lvlText w:val="–"/>
      <w:lvlJc w:val="left"/>
      <w:pPr>
        <w:tabs>
          <w:tab w:val="num" w:pos="2484"/>
        </w:tabs>
        <w:ind w:left="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fr-F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88"/>
    <w:rsid w:val="001A3B17"/>
    <w:rsid w:val="006417B9"/>
    <w:rsid w:val="00B370D3"/>
    <w:rsid w:val="00C5087E"/>
    <w:rsid w:val="00D62C14"/>
    <w:rsid w:val="00E0329B"/>
    <w:rsid w:val="00EF1945"/>
    <w:rsid w:val="00F04588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1699F-8CB4-43DC-A757-4BFEB549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paragraph" w:styleId="Corpsdetexte">
    <w:name w:val="Body Text"/>
    <w:basedOn w:val="Normal"/>
    <w:link w:val="CorpsdetexteCar"/>
    <w:rsid w:val="00C508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Palatino" w:hAnsi="Palatino"/>
      <w:color w:val="auto"/>
      <w:szCs w:val="20"/>
      <w:bdr w:val="none" w:sz="0" w:space="0" w:color="auto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C5087E"/>
    <w:rPr>
      <w:rFonts w:ascii="Palatino" w:eastAsia="Times New Roman" w:hAnsi="Palatino"/>
      <w:sz w:val="24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rsid w:val="00C508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087E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8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87E"/>
    <w:rPr>
      <w:rFonts w:ascii="Segoe UI" w:eastAsia="Times New Roman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biomedecine</Company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COUCHOUD Cécile</dc:creator>
  <cp:lastModifiedBy>COUCHOUD Cécile</cp:lastModifiedBy>
  <cp:revision>3</cp:revision>
  <cp:lastPrinted>2018-06-18T12:41:00Z</cp:lastPrinted>
  <dcterms:created xsi:type="dcterms:W3CDTF">2019-11-19T09:51:00Z</dcterms:created>
  <dcterms:modified xsi:type="dcterms:W3CDTF">2019-11-19T09:51:00Z</dcterms:modified>
</cp:coreProperties>
</file>